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CB" w:rsidRPr="00C26AE6" w:rsidRDefault="003D12CB" w:rsidP="003D12CB">
      <w:pPr>
        <w:pStyle w:val="NoSpacing"/>
        <w:jc w:val="center"/>
        <w:rPr>
          <w:rFonts w:ascii="Cambria" w:hAnsi="Cambria"/>
          <w:b/>
          <w:bCs/>
          <w:sz w:val="28"/>
          <w:szCs w:val="28"/>
        </w:rPr>
      </w:pPr>
      <w:r w:rsidRPr="00C26AE6">
        <w:rPr>
          <w:rFonts w:ascii="Cambria" w:hAnsi="Cambria"/>
          <w:b/>
          <w:bCs/>
          <w:sz w:val="28"/>
          <w:szCs w:val="28"/>
        </w:rPr>
        <w:t>Government of Tripura</w:t>
      </w:r>
      <w:r w:rsidRPr="00C26AE6">
        <w:rPr>
          <w:rFonts w:ascii="Cambria" w:hAnsi="Cambria"/>
          <w:b/>
          <w:bCs/>
          <w:sz w:val="28"/>
          <w:szCs w:val="28"/>
        </w:rPr>
        <w:br/>
        <w:t xml:space="preserve">   Directorate of Family Welfare &amp; P.M</w:t>
      </w:r>
    </w:p>
    <w:p w:rsidR="003D12CB" w:rsidRPr="00C26AE6" w:rsidRDefault="003D12CB" w:rsidP="003D12CB">
      <w:pPr>
        <w:pStyle w:val="NoSpacing"/>
        <w:jc w:val="center"/>
        <w:rPr>
          <w:rFonts w:ascii="Cambria" w:hAnsi="Cambria"/>
          <w:sz w:val="28"/>
          <w:szCs w:val="28"/>
        </w:rPr>
      </w:pPr>
      <w:r w:rsidRPr="00C26AE6">
        <w:rPr>
          <w:rFonts w:ascii="Cambria" w:hAnsi="Cambria"/>
          <w:sz w:val="28"/>
          <w:szCs w:val="28"/>
        </w:rPr>
        <w:t xml:space="preserve"> Fax: 0381-232-6602. </w:t>
      </w:r>
      <w:hyperlink r:id="rId5" w:history="1">
        <w:r w:rsidRPr="00C26AE6">
          <w:rPr>
            <w:rStyle w:val="Hyperlink"/>
            <w:rFonts w:ascii="Cambria" w:hAnsi="Cambria"/>
            <w:sz w:val="28"/>
            <w:szCs w:val="28"/>
          </w:rPr>
          <w:t>Email-dfwpmtripura@gmail.com</w:t>
        </w:r>
      </w:hyperlink>
    </w:p>
    <w:p w:rsidR="003D12CB" w:rsidRDefault="003D12CB" w:rsidP="003D12CB">
      <w:pPr>
        <w:pStyle w:val="NoSpacing"/>
        <w:jc w:val="center"/>
        <w:rPr>
          <w:rFonts w:ascii="Cambria" w:hAnsi="Cambria"/>
          <w:b/>
        </w:rPr>
      </w:pPr>
    </w:p>
    <w:p w:rsidR="003D12CB" w:rsidRDefault="003D12CB" w:rsidP="003D12CB">
      <w:pPr>
        <w:pStyle w:val="NoSpacing"/>
        <w:rPr>
          <w:rFonts w:ascii="Cambria" w:hAnsi="Cambria"/>
        </w:rPr>
      </w:pPr>
      <w:r>
        <w:rPr>
          <w:rFonts w:ascii="Cambria" w:hAnsi="Cambria"/>
        </w:rPr>
        <w:t>Tender No.</w:t>
      </w:r>
      <w:r>
        <w:rPr>
          <w:rFonts w:ascii="Cambria" w:hAnsi="Cambria"/>
          <w:b/>
        </w:rPr>
        <w:t xml:space="preserve"> No. F. V (15)/-RFL/06                                                                 Dated   06 /11/2015</w:t>
      </w:r>
    </w:p>
    <w:p w:rsidR="003D12CB" w:rsidRDefault="003D12CB" w:rsidP="003D12CB">
      <w:pPr>
        <w:pStyle w:val="NoSpacing"/>
        <w:rPr>
          <w:rFonts w:ascii="Cambria" w:hAnsi="Cambria"/>
        </w:rPr>
      </w:pPr>
    </w:p>
    <w:p w:rsidR="003D12CB" w:rsidRDefault="003D12CB" w:rsidP="003D12CB">
      <w:pPr>
        <w:pStyle w:val="NoSpacing"/>
        <w:rPr>
          <w:rFonts w:ascii="Cambria" w:hAnsi="Cambria"/>
        </w:rPr>
      </w:pPr>
    </w:p>
    <w:p w:rsidR="003D12CB" w:rsidRDefault="003D12CB" w:rsidP="003D12CB">
      <w:pPr>
        <w:pStyle w:val="NoSpacing"/>
        <w:jc w:val="both"/>
        <w:rPr>
          <w:rFonts w:ascii="Cambria" w:hAnsi="Cambria"/>
          <w:b/>
          <w:u w:val="single"/>
        </w:rPr>
      </w:pPr>
    </w:p>
    <w:p w:rsidR="003D12CB" w:rsidRDefault="003D12CB" w:rsidP="003D12CB">
      <w:pPr>
        <w:pStyle w:val="NoSpacing"/>
        <w:jc w:val="both"/>
        <w:rPr>
          <w:rFonts w:ascii="Cambria" w:hAnsi="Cambria"/>
          <w:b/>
          <w:u w:val="single"/>
        </w:rPr>
      </w:pPr>
    </w:p>
    <w:p w:rsidR="003D12CB" w:rsidRDefault="003D12CB" w:rsidP="003D12CB">
      <w:pPr>
        <w:pStyle w:val="NoSpacing"/>
        <w:ind w:left="3600"/>
        <w:jc w:val="both"/>
        <w:rPr>
          <w:rFonts w:ascii="Cambria" w:hAnsi="Cambria"/>
          <w:b/>
          <w:sz w:val="28"/>
          <w:szCs w:val="28"/>
          <w:u w:val="single"/>
        </w:rPr>
      </w:pPr>
      <w:r>
        <w:rPr>
          <w:rFonts w:ascii="Cambria" w:hAnsi="Cambria"/>
          <w:b/>
          <w:sz w:val="28"/>
          <w:szCs w:val="28"/>
          <w:u w:val="single"/>
        </w:rPr>
        <w:t xml:space="preserve">Notice </w:t>
      </w:r>
      <w:proofErr w:type="gramStart"/>
      <w:r>
        <w:rPr>
          <w:rFonts w:ascii="Cambria" w:hAnsi="Cambria"/>
          <w:b/>
          <w:sz w:val="28"/>
          <w:szCs w:val="28"/>
          <w:u w:val="single"/>
        </w:rPr>
        <w:t>Inviting  Tender</w:t>
      </w:r>
      <w:proofErr w:type="gramEnd"/>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rPr>
      </w:pPr>
      <w:r>
        <w:rPr>
          <w:rFonts w:ascii="Cambria" w:hAnsi="Cambria"/>
        </w:rPr>
        <w:t xml:space="preserve">           Sealed Tenders are invited by the undersigned on behalf of the Governor of Tripura from the reputed and experienced manufacturer or their authorized Distributors for supply of Laboratory Equipments for Regional Food Laboratory, Agartala for the year 2015-2016.  </w:t>
      </w:r>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rPr>
      </w:pPr>
      <w:r>
        <w:rPr>
          <w:rFonts w:ascii="Cambria" w:hAnsi="Cambria"/>
        </w:rPr>
        <w:t xml:space="preserve">         The tender detailed description of the items and terms and conditions may be available through the website </w:t>
      </w:r>
      <w:hyperlink r:id="rId6" w:history="1">
        <w:r>
          <w:rPr>
            <w:rStyle w:val="Hyperlink"/>
            <w:rFonts w:ascii="Cambria" w:hAnsi="Cambria"/>
          </w:rPr>
          <w:t>www.health.tripura.gov.in</w:t>
        </w:r>
      </w:hyperlink>
      <w:r>
        <w:rPr>
          <w:rFonts w:ascii="Cambria" w:hAnsi="Cambria"/>
        </w:rPr>
        <w:t xml:space="preserve"> .</w:t>
      </w:r>
      <w:r>
        <w:rPr>
          <w:rFonts w:ascii="Cambria" w:hAnsi="Cambria"/>
          <w:snapToGrid w:val="0"/>
        </w:rPr>
        <w:t>The tender will be dropped in tender box only with sealed covers addressed to “</w:t>
      </w:r>
      <w:r>
        <w:rPr>
          <w:rFonts w:ascii="Cambria" w:hAnsi="Cambria"/>
          <w:b/>
          <w:snapToGrid w:val="0"/>
        </w:rPr>
        <w:t xml:space="preserve">Director of Family Welfare &amp; P.M., Government of Tripura, P.N. Complex, Gurkhabasti, P.O. </w:t>
      </w:r>
      <w:proofErr w:type="spellStart"/>
      <w:r>
        <w:rPr>
          <w:rFonts w:ascii="Cambria" w:hAnsi="Cambria"/>
          <w:b/>
          <w:snapToGrid w:val="0"/>
        </w:rPr>
        <w:t>Kunjaban</w:t>
      </w:r>
      <w:proofErr w:type="spellEnd"/>
      <w:r>
        <w:rPr>
          <w:rFonts w:ascii="Cambria" w:hAnsi="Cambria"/>
          <w:b/>
          <w:snapToGrid w:val="0"/>
        </w:rPr>
        <w:t>, Agartala-799006</w:t>
      </w:r>
      <w:r>
        <w:rPr>
          <w:rFonts w:ascii="Cambria" w:hAnsi="Cambria"/>
          <w:snapToGrid w:val="0"/>
        </w:rPr>
        <w:t>” up to 2:00 p.m. of 16/11/2015 &amp; tender will be opened at 12:00 noon on 17/11/2015 if possible.</w:t>
      </w:r>
      <w:r>
        <w:rPr>
          <w:rFonts w:ascii="Cambria" w:hAnsi="Cambria"/>
        </w:rPr>
        <w:t xml:space="preserve"> The undersigned will not be responsible for any postal delay.  Rates of Lab. equipments finalized through this process shall remain valid up to 31 March 2016. The Director of FW&amp;PM, Government of Tripura may extend or curtail the validity period if deem fit.                                 </w:t>
      </w:r>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rPr>
      </w:pPr>
      <w:r>
        <w:rPr>
          <w:sz w:val="22"/>
          <w:szCs w:val="22"/>
        </w:rPr>
        <w:t xml:space="preserve">                                                                                                                          Sd</w:t>
      </w:r>
      <w:proofErr w:type="gramStart"/>
      <w:r>
        <w:rPr>
          <w:sz w:val="22"/>
          <w:szCs w:val="22"/>
        </w:rPr>
        <w:t>./</w:t>
      </w:r>
      <w:proofErr w:type="gramEnd"/>
      <w:r>
        <w:rPr>
          <w:sz w:val="22"/>
          <w:szCs w:val="22"/>
        </w:rPr>
        <w:t xml:space="preserve"> 06/11/2015                  </w:t>
      </w:r>
    </w:p>
    <w:p w:rsidR="003D12CB" w:rsidRDefault="003D12CB" w:rsidP="003D12CB">
      <w:pPr>
        <w:pStyle w:val="NoSpacing"/>
        <w:rPr>
          <w:rFonts w:ascii="Cambria" w:hAnsi="Cambria"/>
          <w:snapToGrid w:val="0"/>
        </w:rPr>
      </w:pPr>
      <w:r>
        <w:rPr>
          <w:rFonts w:ascii="Cambria" w:hAnsi="Cambria"/>
          <w:i/>
        </w:rPr>
        <w:t xml:space="preserve">                                                                                                                             </w:t>
      </w:r>
      <w:r>
        <w:rPr>
          <w:rFonts w:ascii="Cambria" w:hAnsi="Cambria"/>
        </w:rPr>
        <w:t xml:space="preserve">(Dr. K.L. </w:t>
      </w:r>
      <w:proofErr w:type="spellStart"/>
      <w:r>
        <w:rPr>
          <w:rFonts w:ascii="Cambria" w:hAnsi="Cambria"/>
        </w:rPr>
        <w:t>Bhowmik</w:t>
      </w:r>
      <w:proofErr w:type="spellEnd"/>
      <w:r>
        <w:rPr>
          <w:rFonts w:ascii="Cambria" w:hAnsi="Cambria"/>
        </w:rPr>
        <w:t>)</w:t>
      </w:r>
    </w:p>
    <w:p w:rsidR="003D12CB" w:rsidRDefault="003D12CB" w:rsidP="003D12CB">
      <w:pPr>
        <w:pStyle w:val="NoSpacing"/>
        <w:rPr>
          <w:rFonts w:ascii="Cambria" w:hAnsi="Cambria"/>
          <w:snapToGrid w:val="0"/>
        </w:rPr>
      </w:pPr>
      <w:r>
        <w:rPr>
          <w:rFonts w:ascii="Cambria" w:hAnsi="Cambria"/>
          <w:snapToGrid w:val="0"/>
        </w:rPr>
        <w:t xml:space="preserve">                                                                                                               </w:t>
      </w:r>
      <w:proofErr w:type="gramStart"/>
      <w:r>
        <w:rPr>
          <w:rFonts w:ascii="Cambria" w:hAnsi="Cambria"/>
          <w:snapToGrid w:val="0"/>
        </w:rPr>
        <w:t>Director of Family Welfare &amp; P.M.,</w:t>
      </w:r>
      <w:proofErr w:type="gramEnd"/>
    </w:p>
    <w:p w:rsidR="003D12CB" w:rsidRDefault="003D12CB" w:rsidP="003D12CB">
      <w:pPr>
        <w:pStyle w:val="NoSpacing"/>
        <w:rPr>
          <w:rFonts w:ascii="Cambria" w:hAnsi="Cambria"/>
          <w:snapToGrid w:val="0"/>
          <w:u w:val="single"/>
        </w:rPr>
      </w:pPr>
      <w:r>
        <w:rPr>
          <w:rFonts w:ascii="Cambria" w:hAnsi="Cambria"/>
          <w:snapToGrid w:val="0"/>
        </w:rPr>
        <w:t xml:space="preserve">                                                                                                                      </w:t>
      </w:r>
      <w:r>
        <w:rPr>
          <w:rFonts w:ascii="Cambria" w:hAnsi="Cambria"/>
          <w:snapToGrid w:val="0"/>
          <w:u w:val="single"/>
        </w:rPr>
        <w:t xml:space="preserve">Govt. of Tripura: Agartala. </w:t>
      </w:r>
    </w:p>
    <w:p w:rsidR="003D12CB" w:rsidRDefault="003D12CB" w:rsidP="003D12CB">
      <w:pPr>
        <w:pStyle w:val="NoSpacing"/>
        <w:jc w:val="both"/>
        <w:rPr>
          <w:rFonts w:ascii="Cambria" w:hAnsi="Cambria"/>
          <w:snapToGrid w:val="0"/>
          <w:u w:val="single"/>
        </w:rPr>
      </w:pPr>
    </w:p>
    <w:p w:rsidR="003D12CB" w:rsidRDefault="003D12CB" w:rsidP="003D12CB">
      <w:pPr>
        <w:pStyle w:val="NoSpacing"/>
        <w:jc w:val="both"/>
        <w:rPr>
          <w:rFonts w:ascii="Cambria" w:hAnsi="Cambria"/>
          <w:u w:val="single"/>
        </w:rPr>
      </w:pPr>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sz w:val="22"/>
          <w:szCs w:val="22"/>
        </w:rPr>
      </w:pPr>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rPr>
      </w:pPr>
    </w:p>
    <w:p w:rsidR="003D12CB" w:rsidRDefault="003D12CB" w:rsidP="003D12CB">
      <w:pPr>
        <w:pStyle w:val="NoSpacing"/>
        <w:jc w:val="both"/>
        <w:rPr>
          <w:rFonts w:ascii="Cambria" w:hAnsi="Cambria"/>
        </w:rPr>
      </w:pPr>
    </w:p>
    <w:p w:rsidR="003D12CB" w:rsidRDefault="003D12CB" w:rsidP="003D12CB">
      <w:pPr>
        <w:widowControl w:val="0"/>
        <w:ind w:right="-341"/>
        <w:rPr>
          <w:rFonts w:ascii="Cambria" w:eastAsia="Times New Roman" w:hAnsi="Cambria" w:cs="Times New Roman"/>
          <w:sz w:val="24"/>
          <w:szCs w:val="24"/>
        </w:rPr>
      </w:pPr>
    </w:p>
    <w:p w:rsidR="003D12CB" w:rsidRDefault="003D12CB" w:rsidP="003D12CB">
      <w:pPr>
        <w:widowControl w:val="0"/>
        <w:ind w:right="-341"/>
        <w:rPr>
          <w:rFonts w:ascii="Cambria" w:hAnsi="Cambria"/>
          <w:b/>
          <w:bCs/>
          <w:snapToGrid w:val="0"/>
          <w:u w:val="single"/>
        </w:rPr>
      </w:pPr>
    </w:p>
    <w:p w:rsidR="003D12CB" w:rsidRDefault="003D12CB" w:rsidP="003D12CB">
      <w:pPr>
        <w:widowControl w:val="0"/>
        <w:ind w:left="720" w:right="-341"/>
        <w:jc w:val="center"/>
        <w:rPr>
          <w:rFonts w:ascii="Cambria" w:hAnsi="Cambria"/>
          <w:b/>
          <w:bCs/>
          <w:snapToGrid w:val="0"/>
          <w:u w:val="single"/>
        </w:rPr>
      </w:pPr>
    </w:p>
    <w:p w:rsidR="003D12CB" w:rsidRDefault="003D12CB" w:rsidP="003D12CB">
      <w:pPr>
        <w:widowControl w:val="0"/>
        <w:ind w:left="720" w:right="-341"/>
        <w:jc w:val="center"/>
        <w:rPr>
          <w:rFonts w:ascii="Cambria" w:hAnsi="Cambria"/>
          <w:b/>
          <w:bCs/>
          <w:snapToGrid w:val="0"/>
          <w:u w:val="single"/>
        </w:rPr>
      </w:pPr>
    </w:p>
    <w:p w:rsidR="003D12CB" w:rsidRDefault="003D12CB" w:rsidP="003D12CB">
      <w:pPr>
        <w:pStyle w:val="NoSpacing"/>
        <w:rPr>
          <w:snapToGrid w:val="0"/>
        </w:rPr>
      </w:pPr>
      <w:r>
        <w:rPr>
          <w:snapToGrid w:val="0"/>
        </w:rPr>
        <w:lastRenderedPageBreak/>
        <w:t xml:space="preserve">                                                          TERMS &amp; CONDITIONS</w:t>
      </w:r>
    </w:p>
    <w:p w:rsidR="003D12CB" w:rsidRDefault="003D12CB" w:rsidP="003D12CB">
      <w:pPr>
        <w:pStyle w:val="NoSpacing"/>
        <w:rPr>
          <w:snapToGrid w:val="0"/>
          <w:sz w:val="2"/>
          <w:szCs w:val="22"/>
        </w:rPr>
      </w:pPr>
      <w:r>
        <w:rPr>
          <w:snapToGrid w:val="0"/>
          <w:sz w:val="22"/>
          <w:szCs w:val="22"/>
        </w:rPr>
        <w:t xml:space="preserve">      </w:t>
      </w:r>
    </w:p>
    <w:p w:rsidR="003D12CB" w:rsidRDefault="003D12CB" w:rsidP="003D12CB">
      <w:pPr>
        <w:pStyle w:val="NoSpacing"/>
        <w:rPr>
          <w:snapToGrid w:val="0"/>
          <w:sz w:val="22"/>
          <w:szCs w:val="22"/>
        </w:rPr>
      </w:pPr>
      <w:r>
        <w:rPr>
          <w:sz w:val="22"/>
          <w:szCs w:val="22"/>
        </w:rPr>
        <w:t xml:space="preserve">1.        At the time of submitting tender papers, the bidders/firms should mention full particulars of Director/Secretary/Authorized signatory and put their full signature on the tender papers. On the top left side of the sealed tender inquiry number and date, due date of receipt of tender and address of Tenderer should be mentioned. </w:t>
      </w:r>
      <w:proofErr w:type="gramStart"/>
      <w:r>
        <w:rPr>
          <w:sz w:val="22"/>
          <w:szCs w:val="22"/>
        </w:rPr>
        <w:t>The  detailed</w:t>
      </w:r>
      <w:proofErr w:type="gramEnd"/>
      <w:r>
        <w:rPr>
          <w:sz w:val="22"/>
          <w:szCs w:val="22"/>
        </w:rPr>
        <w:t xml:space="preserve"> description of the items and terms and conditions may be available  through the website </w:t>
      </w:r>
      <w:hyperlink r:id="rId7" w:history="1">
        <w:r>
          <w:rPr>
            <w:rStyle w:val="Hyperlink"/>
            <w:rFonts w:ascii="Cambria" w:hAnsi="Cambria"/>
            <w:sz w:val="22"/>
            <w:szCs w:val="22"/>
          </w:rPr>
          <w:t>www.health.tripura.gov.in</w:t>
        </w:r>
      </w:hyperlink>
      <w:r>
        <w:rPr>
          <w:sz w:val="22"/>
          <w:szCs w:val="22"/>
        </w:rPr>
        <w:t xml:space="preserve"> .</w:t>
      </w:r>
      <w:r>
        <w:rPr>
          <w:snapToGrid w:val="0"/>
          <w:sz w:val="22"/>
          <w:szCs w:val="22"/>
        </w:rPr>
        <w:t xml:space="preserve">The list of item with detailed specification is at annexure-A. </w:t>
      </w:r>
    </w:p>
    <w:p w:rsidR="003D12CB" w:rsidRDefault="003D12CB" w:rsidP="003D12CB">
      <w:pPr>
        <w:pStyle w:val="NoSpacing"/>
        <w:jc w:val="both"/>
        <w:rPr>
          <w:rFonts w:ascii="Cambria" w:hAnsi="Cambria"/>
          <w:snapToGrid w:val="0"/>
          <w:sz w:val="22"/>
        </w:rPr>
      </w:pPr>
      <w:r>
        <w:rPr>
          <w:rFonts w:ascii="Cambria" w:hAnsi="Cambria"/>
          <w:snapToGrid w:val="0"/>
        </w:rPr>
        <w:t>2.        The interested bidders shall submit the bids in 2(two) parts, namely “</w:t>
      </w:r>
      <w:r>
        <w:rPr>
          <w:rFonts w:ascii="Cambria" w:hAnsi="Cambria"/>
          <w:b/>
          <w:snapToGrid w:val="0"/>
        </w:rPr>
        <w:t>Technical Bid</w:t>
      </w:r>
      <w:r>
        <w:rPr>
          <w:rFonts w:ascii="Cambria" w:hAnsi="Cambria"/>
          <w:snapToGrid w:val="0"/>
        </w:rPr>
        <w:t xml:space="preserve"> and </w:t>
      </w:r>
      <w:r>
        <w:rPr>
          <w:rFonts w:ascii="Cambria" w:hAnsi="Cambria"/>
          <w:b/>
          <w:snapToGrid w:val="0"/>
        </w:rPr>
        <w:t>Financial Bid</w:t>
      </w:r>
      <w:r>
        <w:rPr>
          <w:rFonts w:ascii="Cambria" w:hAnsi="Cambria"/>
          <w:snapToGrid w:val="0"/>
        </w:rPr>
        <w:t>”. The 2-bids should be put in two separate sealed envelopes, indicating on the cover as to which one is the technical bid and which one is the financial bid. The 2 envelopes shall, thereafter, be placed inside a large sealed cover and the same may be submitted. The “Technical Bid “ shall contain on details regarding the item offered by the bidder, compliance of terms and conditions, submission of documents etc. in other words, everything except the rate offered. The “Financial Bid” shall contain the rate offered by the bidder. While processing the bids, the technical bids will be opened first and the eligible bidders meeting requirement will be short-listed. Thereafter, financial bids of only short listed bidders will be opened for consideration”.</w:t>
      </w:r>
    </w:p>
    <w:p w:rsidR="003D12CB" w:rsidRDefault="003D12CB" w:rsidP="003D12CB">
      <w:pPr>
        <w:pStyle w:val="NoSpacing"/>
        <w:jc w:val="both"/>
        <w:rPr>
          <w:rFonts w:ascii="Cambria" w:hAnsi="Cambria"/>
          <w:snapToGrid w:val="0"/>
          <w:sz w:val="8"/>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3.</w:t>
      </w:r>
      <w:r>
        <w:rPr>
          <w:rFonts w:ascii="Cambria" w:hAnsi="Cambria"/>
          <w:snapToGrid w:val="0"/>
          <w:sz w:val="22"/>
          <w:szCs w:val="22"/>
        </w:rPr>
        <w:tab/>
        <w:t xml:space="preserve">The Lab. Equipments must be supplied directly by the firm itself or by </w:t>
      </w:r>
      <w:proofErr w:type="spellStart"/>
      <w:r>
        <w:rPr>
          <w:rFonts w:ascii="Cambria" w:hAnsi="Cambria"/>
          <w:snapToGrid w:val="0"/>
          <w:sz w:val="22"/>
          <w:szCs w:val="22"/>
        </w:rPr>
        <w:t>it’s</w:t>
      </w:r>
      <w:proofErr w:type="spellEnd"/>
      <w:r>
        <w:rPr>
          <w:rFonts w:ascii="Cambria" w:hAnsi="Cambria"/>
          <w:snapToGrid w:val="0"/>
          <w:sz w:val="22"/>
          <w:szCs w:val="22"/>
        </w:rPr>
        <w:t xml:space="preserve"> authorized distributors and should obtain sales tax clearance by the supplier before delivery. An authorized representative of the firm should remain present during delivery of the ordered quantity.</w:t>
      </w:r>
    </w:p>
    <w:p w:rsidR="003D12CB" w:rsidRDefault="003D12CB" w:rsidP="003D12CB">
      <w:pPr>
        <w:pStyle w:val="NoSpacing"/>
        <w:jc w:val="both"/>
        <w:rPr>
          <w:rFonts w:ascii="Cambria" w:hAnsi="Cambria"/>
          <w:snapToGrid w:val="0"/>
          <w:sz w:val="6"/>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4. </w:t>
      </w:r>
      <w:r>
        <w:rPr>
          <w:rFonts w:ascii="Cambria" w:hAnsi="Cambria"/>
          <w:snapToGrid w:val="0"/>
          <w:sz w:val="22"/>
          <w:szCs w:val="22"/>
        </w:rPr>
        <w:tab/>
        <w:t xml:space="preserve">The supply order of Lab. equipments must be completed within 45 (forty-five) days from the date of issue of order. A penalty @ 1% on the total value shall be charged for every week or part of week of delay beyond stipulated date of supply. However, Relaxation will be entertained only in special circumstances (Natural Calamities, War or any other situation beyond human control).                                                                                                              </w:t>
      </w:r>
    </w:p>
    <w:p w:rsidR="003D12CB" w:rsidRDefault="003D12CB" w:rsidP="003D12CB">
      <w:pPr>
        <w:pStyle w:val="NoSpacing"/>
        <w:jc w:val="both"/>
        <w:rPr>
          <w:rFonts w:ascii="Cambria" w:hAnsi="Cambria"/>
          <w:snapToGrid w:val="0"/>
          <w:sz w:val="6"/>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5. </w:t>
      </w:r>
      <w:r>
        <w:rPr>
          <w:rFonts w:ascii="Cambria" w:hAnsi="Cambria"/>
          <w:snapToGrid w:val="0"/>
          <w:sz w:val="22"/>
          <w:szCs w:val="22"/>
        </w:rPr>
        <w:tab/>
        <w:t xml:space="preserve">5 % of the value of ordered quantity will have to be deposited in </w:t>
      </w:r>
      <w:proofErr w:type="spellStart"/>
      <w:r>
        <w:rPr>
          <w:rFonts w:ascii="Cambria" w:hAnsi="Cambria"/>
          <w:snapToGrid w:val="0"/>
          <w:sz w:val="22"/>
          <w:szCs w:val="22"/>
        </w:rPr>
        <w:t>favour</w:t>
      </w:r>
      <w:proofErr w:type="spellEnd"/>
      <w:r>
        <w:rPr>
          <w:rFonts w:ascii="Cambria" w:hAnsi="Cambria"/>
          <w:snapToGrid w:val="0"/>
          <w:sz w:val="22"/>
          <w:szCs w:val="22"/>
        </w:rPr>
        <w:t xml:space="preserve"> of the </w:t>
      </w:r>
      <w:r>
        <w:rPr>
          <w:rFonts w:ascii="Cambria" w:hAnsi="Cambria"/>
          <w:b/>
          <w:snapToGrid w:val="0"/>
          <w:sz w:val="22"/>
          <w:szCs w:val="22"/>
        </w:rPr>
        <w:t>Director of Family Welfare &amp; Preventive Medicine, Government of Tripura</w:t>
      </w:r>
      <w:r>
        <w:rPr>
          <w:rFonts w:ascii="Cambria" w:hAnsi="Cambria"/>
          <w:snapToGrid w:val="0"/>
          <w:sz w:val="22"/>
          <w:szCs w:val="22"/>
        </w:rPr>
        <w:t xml:space="preserve"> as security money by demand draft from any Nationalized Bank by the firm within 20(twenty) days time from the date of issue of supply order/before receiving item. The security money will be released after completion of full supply within the stipulated period or it may be kept for the next supply order whichever is applicable. </w:t>
      </w:r>
    </w:p>
    <w:p w:rsidR="003D12CB" w:rsidRDefault="003D12CB" w:rsidP="003D12CB">
      <w:pPr>
        <w:pStyle w:val="NoSpacing"/>
        <w:jc w:val="both"/>
        <w:rPr>
          <w:rFonts w:ascii="Cambria" w:hAnsi="Cambria"/>
          <w:snapToGrid w:val="0"/>
          <w:sz w:val="2"/>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6.     Income Tax / Sales Tax/VAT will be deducted from the bill as per guidelines of the Government, if applicable.</w:t>
      </w:r>
    </w:p>
    <w:p w:rsidR="003D12CB" w:rsidRDefault="003D12CB" w:rsidP="003D12CB">
      <w:pPr>
        <w:pStyle w:val="NoSpacing"/>
        <w:jc w:val="both"/>
        <w:rPr>
          <w:rFonts w:ascii="Cambria" w:hAnsi="Cambria"/>
          <w:snapToGrid w:val="0"/>
          <w:sz w:val="10"/>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7.  Any enhancement of rate within the validity period of contract will not be considered except for imposition of any levy or increase in existing levy by the Government &amp; any undue request may lead to cancellation of the order.</w:t>
      </w: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   </w:t>
      </w:r>
      <w:r>
        <w:rPr>
          <w:rFonts w:ascii="Cambria" w:hAnsi="Cambria"/>
          <w:snapToGrid w:val="0"/>
          <w:sz w:val="12"/>
          <w:szCs w:val="22"/>
        </w:rPr>
        <w:t>,</w:t>
      </w:r>
      <w:r>
        <w:rPr>
          <w:rFonts w:ascii="Cambria" w:hAnsi="Cambria"/>
          <w:snapToGrid w:val="0"/>
          <w:sz w:val="22"/>
          <w:szCs w:val="22"/>
        </w:rPr>
        <w:t xml:space="preserve">                                                                    </w:t>
      </w: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8.     Payment to successful Tenderer shall be made on bill basis only after completion of supply items as ordered for. No advance payment shall be made under any circumstances.    </w:t>
      </w:r>
    </w:p>
    <w:p w:rsidR="003D12CB" w:rsidRDefault="003D12CB" w:rsidP="003D12CB">
      <w:pPr>
        <w:pStyle w:val="NoSpacing"/>
        <w:jc w:val="both"/>
        <w:rPr>
          <w:rFonts w:ascii="Cambria" w:hAnsi="Cambria"/>
          <w:snapToGrid w:val="0"/>
          <w:sz w:val="22"/>
          <w:szCs w:val="22"/>
        </w:rPr>
      </w:pPr>
      <w:r>
        <w:rPr>
          <w:rFonts w:ascii="Cambria" w:hAnsi="Cambria"/>
          <w:snapToGrid w:val="0"/>
          <w:sz w:val="2"/>
          <w:szCs w:val="22"/>
        </w:rPr>
        <w:t>,</w:t>
      </w:r>
      <w:r>
        <w:rPr>
          <w:rFonts w:ascii="Cambria" w:hAnsi="Cambria"/>
          <w:snapToGrid w:val="0"/>
          <w:sz w:val="22"/>
          <w:szCs w:val="22"/>
        </w:rPr>
        <w:t xml:space="preserve">                                                                         </w:t>
      </w: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9. </w:t>
      </w: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       a) The rate should be typed and quoted both in figure and words clearly. The rate of both CST &amp; VAT should be mentioned separately and clearly. Rate should be quoted in Indian currency only.</w:t>
      </w:r>
    </w:p>
    <w:p w:rsidR="003D12CB" w:rsidRDefault="003D12CB" w:rsidP="003D12CB">
      <w:pPr>
        <w:pStyle w:val="NoSpacing"/>
        <w:jc w:val="both"/>
        <w:rPr>
          <w:rFonts w:ascii="Cambria" w:hAnsi="Cambria"/>
          <w:snapToGrid w:val="0"/>
          <w:sz w:val="12"/>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         b) The rate of equipments should </w:t>
      </w:r>
      <w:proofErr w:type="gramStart"/>
      <w:r>
        <w:rPr>
          <w:rFonts w:ascii="Cambria" w:hAnsi="Cambria"/>
          <w:snapToGrid w:val="0"/>
          <w:sz w:val="22"/>
          <w:szCs w:val="22"/>
        </w:rPr>
        <w:t>contains</w:t>
      </w:r>
      <w:proofErr w:type="gramEnd"/>
      <w:r>
        <w:rPr>
          <w:rFonts w:ascii="Cambria" w:hAnsi="Cambria"/>
          <w:snapToGrid w:val="0"/>
          <w:sz w:val="22"/>
          <w:szCs w:val="22"/>
        </w:rPr>
        <w:t xml:space="preserve"> (</w:t>
      </w:r>
      <w:proofErr w:type="spellStart"/>
      <w:r>
        <w:rPr>
          <w:rFonts w:ascii="Cambria" w:hAnsi="Cambria"/>
          <w:snapToGrid w:val="0"/>
          <w:sz w:val="22"/>
          <w:szCs w:val="22"/>
        </w:rPr>
        <w:t>i</w:t>
      </w:r>
      <w:proofErr w:type="spellEnd"/>
      <w:r>
        <w:rPr>
          <w:rFonts w:ascii="Cambria" w:hAnsi="Cambria"/>
          <w:snapToGrid w:val="0"/>
          <w:sz w:val="22"/>
          <w:szCs w:val="22"/>
        </w:rPr>
        <w:t>) basic price, (ii) any tax for calculating the price of the articles.</w:t>
      </w:r>
    </w:p>
    <w:p w:rsidR="003D12CB" w:rsidRDefault="003D12CB" w:rsidP="003D12CB">
      <w:pPr>
        <w:pStyle w:val="NoSpacing"/>
        <w:jc w:val="both"/>
        <w:rPr>
          <w:rFonts w:ascii="Cambria" w:hAnsi="Cambria"/>
          <w:snapToGrid w:val="0"/>
          <w:sz w:val="6"/>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10.   When tender is submitted by the authorized distributor/ supplier, the name of manufacturer should be mentioned against each item for which the rate is quoted. When a tender is submitted by authorized distributor / supplier of more than one manufacturer, rate should be quoted separately for each item showing the name of manufacturer against each item.  </w:t>
      </w:r>
    </w:p>
    <w:p w:rsidR="003D12CB" w:rsidRDefault="003D12CB" w:rsidP="003D12CB">
      <w:pPr>
        <w:pStyle w:val="NoSpacing"/>
        <w:jc w:val="both"/>
        <w:rPr>
          <w:rFonts w:ascii="Cambria" w:hAnsi="Cambria"/>
          <w:snapToGrid w:val="0"/>
          <w:sz w:val="22"/>
          <w:szCs w:val="22"/>
        </w:rPr>
      </w:pPr>
    </w:p>
    <w:p w:rsidR="003D12CB" w:rsidRDefault="003D12CB" w:rsidP="003D12CB">
      <w:pPr>
        <w:pStyle w:val="NoSpacing"/>
        <w:jc w:val="both"/>
        <w:rPr>
          <w:rFonts w:ascii="Cambria" w:hAnsi="Cambria"/>
          <w:snapToGrid w:val="0"/>
          <w:sz w:val="22"/>
          <w:szCs w:val="22"/>
        </w:rPr>
      </w:pPr>
      <w:proofErr w:type="gramStart"/>
      <w:r>
        <w:rPr>
          <w:rFonts w:ascii="Cambria" w:hAnsi="Cambria"/>
          <w:snapToGrid w:val="0"/>
          <w:sz w:val="22"/>
          <w:szCs w:val="22"/>
        </w:rPr>
        <w:t>Contd.</w:t>
      </w:r>
      <w:proofErr w:type="gramEnd"/>
    </w:p>
    <w:p w:rsidR="003D12CB" w:rsidRDefault="003D12CB" w:rsidP="003D12CB">
      <w:pPr>
        <w:pStyle w:val="NoSpacing"/>
        <w:jc w:val="both"/>
        <w:rPr>
          <w:rFonts w:ascii="Cambria" w:hAnsi="Cambria"/>
          <w:b/>
          <w:snapToGrid w:val="0"/>
          <w:sz w:val="22"/>
          <w:szCs w:val="22"/>
        </w:rPr>
      </w:pPr>
    </w:p>
    <w:p w:rsidR="003D12CB" w:rsidRDefault="003D12CB" w:rsidP="003D12CB">
      <w:pPr>
        <w:pStyle w:val="NoSpacing"/>
        <w:jc w:val="both"/>
        <w:rPr>
          <w:rFonts w:ascii="Cambria" w:hAnsi="Cambria"/>
          <w:b/>
          <w:snapToGrid w:val="0"/>
          <w:sz w:val="22"/>
          <w:szCs w:val="22"/>
        </w:rPr>
      </w:pPr>
    </w:p>
    <w:p w:rsidR="003D12CB" w:rsidRDefault="003D12CB" w:rsidP="003D12CB">
      <w:pPr>
        <w:pStyle w:val="NoSpacing"/>
        <w:jc w:val="both"/>
        <w:rPr>
          <w:rFonts w:ascii="Cambria" w:hAnsi="Cambria"/>
          <w:b/>
          <w:snapToGrid w:val="0"/>
          <w:sz w:val="22"/>
          <w:szCs w:val="22"/>
        </w:rPr>
      </w:pPr>
    </w:p>
    <w:p w:rsidR="003D12CB" w:rsidRDefault="003D12CB" w:rsidP="003D12CB">
      <w:pPr>
        <w:pStyle w:val="NoSpacing"/>
        <w:jc w:val="both"/>
        <w:rPr>
          <w:rFonts w:ascii="Cambria" w:hAnsi="Cambria"/>
          <w:b/>
          <w:snapToGrid w:val="0"/>
          <w:sz w:val="22"/>
          <w:szCs w:val="22"/>
        </w:rPr>
      </w:pPr>
    </w:p>
    <w:p w:rsidR="003D12CB" w:rsidRDefault="003D12CB" w:rsidP="003D12CB">
      <w:pPr>
        <w:pStyle w:val="NoSpacing"/>
        <w:jc w:val="both"/>
        <w:rPr>
          <w:rFonts w:ascii="Cambria" w:hAnsi="Cambria"/>
          <w:snapToGrid w:val="0"/>
          <w:sz w:val="22"/>
          <w:szCs w:val="22"/>
        </w:rPr>
      </w:pPr>
    </w:p>
    <w:p w:rsidR="003D12CB" w:rsidRDefault="003D12CB" w:rsidP="003D12CB">
      <w:pPr>
        <w:pStyle w:val="NoSpacing"/>
        <w:jc w:val="both"/>
        <w:rPr>
          <w:rFonts w:ascii="Cambria" w:hAnsi="Cambria"/>
          <w:b/>
          <w:snapToGrid w:val="0"/>
          <w:sz w:val="22"/>
          <w:szCs w:val="22"/>
        </w:rPr>
      </w:pPr>
      <w:r>
        <w:rPr>
          <w:rFonts w:ascii="Cambria" w:hAnsi="Cambria"/>
          <w:snapToGrid w:val="0"/>
          <w:sz w:val="22"/>
          <w:szCs w:val="22"/>
        </w:rPr>
        <w:t xml:space="preserve">                                                                                                        </w:t>
      </w:r>
      <w:r>
        <w:rPr>
          <w:rFonts w:ascii="Cambria" w:hAnsi="Cambria"/>
          <w:b/>
          <w:snapToGrid w:val="0"/>
          <w:sz w:val="22"/>
          <w:szCs w:val="22"/>
        </w:rPr>
        <w:t xml:space="preserve">P/02                                                    </w:t>
      </w:r>
    </w:p>
    <w:p w:rsidR="003D12CB" w:rsidRDefault="003D12CB" w:rsidP="003D12CB">
      <w:pPr>
        <w:pStyle w:val="NoSpacing"/>
        <w:jc w:val="both"/>
        <w:rPr>
          <w:rFonts w:ascii="Cambria" w:hAnsi="Cambria"/>
          <w:snapToGrid w:val="0"/>
          <w:sz w:val="8"/>
          <w:szCs w:val="22"/>
        </w:rPr>
      </w:pPr>
    </w:p>
    <w:p w:rsidR="003D12CB" w:rsidRDefault="003D12CB" w:rsidP="003D12CB">
      <w:pPr>
        <w:pStyle w:val="NoSpacing"/>
        <w:jc w:val="both"/>
        <w:rPr>
          <w:rFonts w:ascii="Cambria" w:hAnsi="Cambria"/>
          <w:snapToGrid w:val="0"/>
          <w:sz w:val="2"/>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  11.  The following self-certified / self-attested documents should be submitted along-with the tender and all the papers are to be self-certified / self-attested.</w:t>
      </w:r>
    </w:p>
    <w:p w:rsidR="003D12CB" w:rsidRDefault="003D12CB" w:rsidP="003D12CB">
      <w:pPr>
        <w:pStyle w:val="NoSpacing"/>
        <w:jc w:val="both"/>
        <w:rPr>
          <w:rFonts w:ascii="Cambria" w:hAnsi="Cambria"/>
          <w:snapToGrid w:val="0"/>
          <w:sz w:val="4"/>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            </w:t>
      </w:r>
      <w:proofErr w:type="spellStart"/>
      <w:r>
        <w:rPr>
          <w:rFonts w:ascii="Cambria" w:hAnsi="Cambria"/>
          <w:snapToGrid w:val="0"/>
          <w:sz w:val="22"/>
          <w:szCs w:val="22"/>
        </w:rPr>
        <w:t>i</w:t>
      </w:r>
      <w:proofErr w:type="spellEnd"/>
      <w:r>
        <w:rPr>
          <w:rFonts w:ascii="Cambria" w:hAnsi="Cambria"/>
          <w:snapToGrid w:val="0"/>
          <w:sz w:val="22"/>
          <w:szCs w:val="22"/>
        </w:rPr>
        <w:t>)   Attested copy of PAN Card   ii)   </w:t>
      </w:r>
      <w:proofErr w:type="gramStart"/>
      <w:r>
        <w:rPr>
          <w:rFonts w:ascii="Cambria" w:hAnsi="Cambria"/>
          <w:snapToGrid w:val="0"/>
          <w:sz w:val="22"/>
          <w:szCs w:val="22"/>
        </w:rPr>
        <w:t>Up</w:t>
      </w:r>
      <w:proofErr w:type="gramEnd"/>
      <w:r>
        <w:rPr>
          <w:rFonts w:ascii="Cambria" w:hAnsi="Cambria"/>
          <w:snapToGrid w:val="0"/>
          <w:sz w:val="22"/>
          <w:szCs w:val="22"/>
        </w:rPr>
        <w:t xml:space="preserve"> to date Sales Tax Clearance Certificate (TCC). </w:t>
      </w: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           iii) Valid quality assurance certificate like ISI/ISO/BIS or any </w:t>
      </w:r>
      <w:proofErr w:type="gramStart"/>
      <w:r>
        <w:rPr>
          <w:rFonts w:ascii="Cambria" w:hAnsi="Cambria"/>
          <w:snapToGrid w:val="0"/>
          <w:sz w:val="22"/>
          <w:szCs w:val="22"/>
        </w:rPr>
        <w:t>other  approved</w:t>
      </w:r>
      <w:proofErr w:type="gramEnd"/>
      <w:r>
        <w:rPr>
          <w:rFonts w:ascii="Cambria" w:hAnsi="Cambria"/>
          <w:snapToGrid w:val="0"/>
          <w:sz w:val="22"/>
          <w:szCs w:val="22"/>
        </w:rPr>
        <w:t xml:space="preserve">  standard.</w:t>
      </w: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           </w:t>
      </w:r>
      <w:proofErr w:type="gramStart"/>
      <w:r>
        <w:rPr>
          <w:rFonts w:ascii="Cambria" w:hAnsi="Cambria"/>
          <w:snapToGrid w:val="0"/>
          <w:sz w:val="22"/>
          <w:szCs w:val="22"/>
        </w:rPr>
        <w:t>iv)  Up to date</w:t>
      </w:r>
      <w:proofErr w:type="gramEnd"/>
      <w:r>
        <w:rPr>
          <w:rFonts w:ascii="Cambria" w:hAnsi="Cambria"/>
          <w:snapToGrid w:val="0"/>
          <w:sz w:val="22"/>
          <w:szCs w:val="22"/>
        </w:rPr>
        <w:t xml:space="preserve"> valid Trade License in respect of authorized distributor/supplier.</w:t>
      </w:r>
    </w:p>
    <w:p w:rsidR="003D12CB" w:rsidRDefault="003D12CB" w:rsidP="003D12CB">
      <w:pPr>
        <w:pStyle w:val="NoSpacing"/>
        <w:jc w:val="both"/>
        <w:rPr>
          <w:rFonts w:ascii="Cambria" w:hAnsi="Cambria"/>
          <w:sz w:val="22"/>
          <w:szCs w:val="22"/>
        </w:rPr>
      </w:pPr>
      <w:r>
        <w:rPr>
          <w:rFonts w:ascii="Cambria" w:hAnsi="Cambria"/>
          <w:snapToGrid w:val="0"/>
          <w:sz w:val="22"/>
          <w:szCs w:val="22"/>
        </w:rPr>
        <w:t xml:space="preserve">           </w:t>
      </w:r>
      <w:proofErr w:type="gramStart"/>
      <w:r>
        <w:rPr>
          <w:rFonts w:ascii="Cambria" w:hAnsi="Cambria"/>
          <w:snapToGrid w:val="0"/>
          <w:sz w:val="22"/>
          <w:szCs w:val="22"/>
        </w:rPr>
        <w:t>v)  Up to date</w:t>
      </w:r>
      <w:proofErr w:type="gramEnd"/>
      <w:r>
        <w:rPr>
          <w:rFonts w:ascii="Cambria" w:hAnsi="Cambria"/>
          <w:snapToGrid w:val="0"/>
          <w:sz w:val="22"/>
          <w:szCs w:val="22"/>
        </w:rPr>
        <w:t> Income Tax Clearance Certificate (IT).</w:t>
      </w:r>
      <w:r>
        <w:rPr>
          <w:rFonts w:ascii="Cambria" w:hAnsi="Cambria"/>
          <w:sz w:val="22"/>
          <w:szCs w:val="22"/>
        </w:rPr>
        <w:t> </w:t>
      </w:r>
    </w:p>
    <w:p w:rsidR="003D12CB" w:rsidRDefault="003D12CB" w:rsidP="003D12CB">
      <w:pPr>
        <w:pStyle w:val="NoSpacing"/>
        <w:jc w:val="both"/>
        <w:rPr>
          <w:rFonts w:ascii="Cambria" w:hAnsi="Cambria"/>
          <w:sz w:val="4"/>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12.   Fresh deposit at call (D/Call) on any Schedule Bank for an amount of Rs. 10,000/- (Ten thousand) only is to be deposited in </w:t>
      </w:r>
      <w:proofErr w:type="spellStart"/>
      <w:r>
        <w:rPr>
          <w:rFonts w:ascii="Cambria" w:hAnsi="Cambria"/>
          <w:snapToGrid w:val="0"/>
          <w:sz w:val="22"/>
          <w:szCs w:val="22"/>
        </w:rPr>
        <w:t>favour</w:t>
      </w:r>
      <w:proofErr w:type="spellEnd"/>
      <w:r>
        <w:rPr>
          <w:rFonts w:ascii="Cambria" w:hAnsi="Cambria"/>
          <w:snapToGrid w:val="0"/>
          <w:sz w:val="22"/>
          <w:szCs w:val="22"/>
        </w:rPr>
        <w:t xml:space="preserve"> of Director of Family Welfare &amp; Preventive Medicine, Government of Tripura along with the tender as Earnest Money which will be released after validity period of contract in case of successful tenderer and that of unsuccessful tenderer will be released after finalization of tender.  </w:t>
      </w:r>
    </w:p>
    <w:p w:rsidR="003D12CB" w:rsidRDefault="003D12CB" w:rsidP="003D12CB">
      <w:pPr>
        <w:pStyle w:val="NoSpacing"/>
        <w:jc w:val="both"/>
        <w:rPr>
          <w:rFonts w:ascii="Cambria" w:hAnsi="Cambria"/>
          <w:snapToGrid w:val="0"/>
          <w:sz w:val="4"/>
          <w:szCs w:val="22"/>
        </w:rPr>
      </w:pPr>
      <w:r>
        <w:rPr>
          <w:rFonts w:ascii="Cambria" w:hAnsi="Cambria"/>
          <w:snapToGrid w:val="0"/>
          <w:sz w:val="4"/>
          <w:szCs w:val="22"/>
        </w:rPr>
        <w:t>,</w:t>
      </w:r>
      <w:r>
        <w:rPr>
          <w:rFonts w:ascii="Cambria" w:hAnsi="Cambria"/>
          <w:snapToGrid w:val="0"/>
          <w:sz w:val="22"/>
          <w:szCs w:val="22"/>
        </w:rPr>
        <w:t xml:space="preserve">                                                                                                  </w:t>
      </w: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13</w:t>
      </w:r>
      <w:r>
        <w:rPr>
          <w:rFonts w:ascii="Cambria" w:hAnsi="Cambria"/>
          <w:sz w:val="22"/>
          <w:szCs w:val="22"/>
        </w:rPr>
        <w:t>. Mode of delivery: - Price</w:t>
      </w:r>
      <w:r>
        <w:rPr>
          <w:rFonts w:ascii="Cambria" w:hAnsi="Cambria"/>
          <w:snapToGrid w:val="0"/>
          <w:sz w:val="22"/>
          <w:szCs w:val="22"/>
        </w:rPr>
        <w:t xml:space="preserve"> quoted should be quoted on F.O.R. Door delivery basis by any route of transportation to the Regional Food Laboratory (RFL), Agartala, and Tripura. </w:t>
      </w:r>
    </w:p>
    <w:p w:rsidR="003D12CB" w:rsidRDefault="003D12CB" w:rsidP="003D12CB">
      <w:pPr>
        <w:pStyle w:val="NoSpacing"/>
        <w:jc w:val="both"/>
        <w:rPr>
          <w:rFonts w:ascii="Cambria" w:hAnsi="Cambria"/>
          <w:snapToGrid w:val="0"/>
          <w:sz w:val="22"/>
          <w:szCs w:val="22"/>
        </w:rPr>
      </w:pPr>
      <w:r>
        <w:rPr>
          <w:rFonts w:ascii="Cambria" w:hAnsi="Cambria"/>
          <w:snapToGrid w:val="0"/>
          <w:sz w:val="10"/>
          <w:szCs w:val="22"/>
        </w:rPr>
        <w:t>,</w:t>
      </w:r>
      <w:r>
        <w:rPr>
          <w:rFonts w:ascii="Cambria" w:hAnsi="Cambria"/>
          <w:b/>
          <w:snapToGrid w:val="0"/>
          <w:sz w:val="22"/>
          <w:szCs w:val="22"/>
        </w:rPr>
        <w:t xml:space="preserve">                                                                                                                                            </w:t>
      </w: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13.   No insurance charge is admissible and successful tenderer will be responsible for any breakage, damage and loss in transit on way to destination.</w:t>
      </w:r>
    </w:p>
    <w:p w:rsidR="003D12CB" w:rsidRDefault="003D12CB" w:rsidP="003D12CB">
      <w:pPr>
        <w:pStyle w:val="NoSpacing"/>
        <w:jc w:val="both"/>
        <w:rPr>
          <w:rFonts w:ascii="Cambria" w:hAnsi="Cambria"/>
          <w:b/>
          <w:snapToGrid w:val="0"/>
          <w:sz w:val="6"/>
          <w:szCs w:val="22"/>
        </w:rPr>
      </w:pPr>
    </w:p>
    <w:p w:rsidR="003D12CB" w:rsidRDefault="003D12CB" w:rsidP="003D12CB">
      <w:pPr>
        <w:pStyle w:val="NoSpacing"/>
        <w:jc w:val="both"/>
        <w:rPr>
          <w:rFonts w:ascii="Cambria" w:hAnsi="Cambria"/>
          <w:snapToGrid w:val="0"/>
          <w:sz w:val="6"/>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14.    If any item supplied is found to be not of Standard quality, the same should be taken back and replaced by fresh stock at own cost of supplier.                                                       </w:t>
      </w:r>
    </w:p>
    <w:p w:rsidR="003D12CB" w:rsidRDefault="003D12CB" w:rsidP="003D12CB">
      <w:pPr>
        <w:pStyle w:val="NoSpacing"/>
        <w:jc w:val="both"/>
        <w:rPr>
          <w:rFonts w:ascii="Cambria" w:hAnsi="Cambria"/>
          <w:snapToGrid w:val="0"/>
          <w:sz w:val="6"/>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15.  The tenderer, who is not a manufacture or who quoted rate for the product of manufacturer shall furnish a letter of authority form the manufacture. </w:t>
      </w:r>
    </w:p>
    <w:p w:rsidR="003D12CB" w:rsidRDefault="003D12CB" w:rsidP="003D12CB">
      <w:pPr>
        <w:pStyle w:val="NoSpacing"/>
        <w:rPr>
          <w:rFonts w:ascii="Cambria" w:hAnsi="Cambria"/>
          <w:snapToGrid w:val="0"/>
          <w:sz w:val="8"/>
          <w:szCs w:val="22"/>
        </w:rPr>
      </w:pPr>
    </w:p>
    <w:p w:rsidR="003D12CB" w:rsidRDefault="003D12CB" w:rsidP="003D12CB">
      <w:pPr>
        <w:pStyle w:val="NoSpacing"/>
        <w:rPr>
          <w:rFonts w:ascii="Cambria" w:hAnsi="Cambria"/>
          <w:sz w:val="22"/>
          <w:szCs w:val="22"/>
        </w:rPr>
      </w:pPr>
      <w:r>
        <w:rPr>
          <w:rFonts w:ascii="Cambria" w:hAnsi="Cambria"/>
          <w:snapToGrid w:val="0"/>
          <w:sz w:val="22"/>
          <w:szCs w:val="22"/>
        </w:rPr>
        <w:t xml:space="preserve"> 16.</w:t>
      </w:r>
      <w:r>
        <w:rPr>
          <w:rFonts w:ascii="Cambria" w:hAnsi="Cambria"/>
          <w:sz w:val="22"/>
          <w:szCs w:val="22"/>
        </w:rPr>
        <w:t xml:space="preserve"> The manufacturers having Marketing Agency at Agartala, Tripura will be preferred during consideration of rate &amp; firm by a constituted committee. </w:t>
      </w:r>
    </w:p>
    <w:p w:rsidR="003D12CB" w:rsidRDefault="003D12CB" w:rsidP="003D12CB">
      <w:pPr>
        <w:pStyle w:val="NoSpacing"/>
        <w:rPr>
          <w:rFonts w:ascii="Cambria" w:hAnsi="Cambria"/>
          <w:sz w:val="6"/>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17. Literature/booklet etc. in connection with each machine/equipment as available should be accompanied with the technical bid.                                                                                                                                              </w:t>
      </w: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 18.  Director of Family Welfare &amp; P.M., Government of Tripura, </w:t>
      </w:r>
      <w:proofErr w:type="gramStart"/>
      <w:r>
        <w:rPr>
          <w:rFonts w:ascii="Cambria" w:hAnsi="Cambria"/>
          <w:snapToGrid w:val="0"/>
          <w:sz w:val="22"/>
          <w:szCs w:val="22"/>
        </w:rPr>
        <w:t>Agartala</w:t>
      </w:r>
      <w:proofErr w:type="gramEnd"/>
      <w:r>
        <w:rPr>
          <w:rFonts w:ascii="Cambria" w:hAnsi="Cambria"/>
          <w:snapToGrid w:val="0"/>
          <w:sz w:val="22"/>
          <w:szCs w:val="22"/>
        </w:rPr>
        <w:t xml:space="preserve"> reserves the right to accept or reject any tender without assigning any reason thereof and tender may be accepted or rejected in part or in whole.</w:t>
      </w:r>
    </w:p>
    <w:p w:rsidR="003D12CB" w:rsidRDefault="003D12CB" w:rsidP="003D12CB">
      <w:pPr>
        <w:pStyle w:val="NoSpacing"/>
        <w:jc w:val="both"/>
        <w:rPr>
          <w:rFonts w:ascii="Cambria" w:hAnsi="Cambria"/>
          <w:snapToGrid w:val="0"/>
          <w:sz w:val="8"/>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19.   In case of any legal dispute the jurisdiction will be Agartala Bench of the Tripura High Court/ Consumer forum at Agartala. </w:t>
      </w:r>
    </w:p>
    <w:p w:rsidR="003D12CB" w:rsidRDefault="003D12CB" w:rsidP="003D12CB">
      <w:pPr>
        <w:pStyle w:val="NoSpacing"/>
        <w:jc w:val="both"/>
        <w:rPr>
          <w:rFonts w:ascii="Cambria" w:hAnsi="Cambria"/>
          <w:snapToGrid w:val="0"/>
          <w:sz w:val="8"/>
          <w:szCs w:val="22"/>
        </w:rPr>
      </w:pPr>
    </w:p>
    <w:p w:rsidR="003D12CB" w:rsidRDefault="003D12CB" w:rsidP="003D12CB">
      <w:pPr>
        <w:pStyle w:val="NoSpacing"/>
        <w:jc w:val="both"/>
        <w:rPr>
          <w:rFonts w:ascii="Cambria" w:hAnsi="Cambria"/>
          <w:snapToGrid w:val="0"/>
          <w:sz w:val="2"/>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20.   The Director of Family Welfare &amp; P.M., Government of Tripura, </w:t>
      </w:r>
      <w:proofErr w:type="gramStart"/>
      <w:r>
        <w:rPr>
          <w:rFonts w:ascii="Cambria" w:hAnsi="Cambria"/>
          <w:snapToGrid w:val="0"/>
          <w:sz w:val="22"/>
          <w:szCs w:val="22"/>
        </w:rPr>
        <w:t>Agartala</w:t>
      </w:r>
      <w:proofErr w:type="gramEnd"/>
      <w:r>
        <w:rPr>
          <w:rFonts w:ascii="Cambria" w:hAnsi="Cambria"/>
          <w:snapToGrid w:val="0"/>
          <w:sz w:val="22"/>
          <w:szCs w:val="22"/>
        </w:rPr>
        <w:t xml:space="preserve"> reserves the right to unilaterally terminate contract or cancel the acceptance of the rate or supply order at any time without notice before expiry of the period for which rate are now invited.</w:t>
      </w:r>
    </w:p>
    <w:p w:rsidR="003D12CB" w:rsidRDefault="003D12CB" w:rsidP="003D12CB">
      <w:pPr>
        <w:pStyle w:val="NoSpacing"/>
        <w:jc w:val="both"/>
        <w:rPr>
          <w:rFonts w:ascii="Cambria" w:hAnsi="Cambria"/>
          <w:snapToGrid w:val="0"/>
          <w:sz w:val="10"/>
          <w:szCs w:val="22"/>
        </w:rPr>
      </w:pP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21.    Extension of rate for supply may be considered for 2</w:t>
      </w:r>
      <w:r>
        <w:rPr>
          <w:rFonts w:ascii="Cambria" w:hAnsi="Cambria"/>
          <w:snapToGrid w:val="0"/>
          <w:sz w:val="22"/>
          <w:szCs w:val="22"/>
          <w:vertAlign w:val="superscript"/>
        </w:rPr>
        <w:t>nd</w:t>
      </w:r>
      <w:r>
        <w:rPr>
          <w:rFonts w:ascii="Cambria" w:hAnsi="Cambria"/>
          <w:snapToGrid w:val="0"/>
          <w:sz w:val="22"/>
          <w:szCs w:val="22"/>
        </w:rPr>
        <w:t xml:space="preserve"> year to the approved supplier on the basis of satisfactory performance and execution of supply order in time and in terms of quality.  </w:t>
      </w:r>
    </w:p>
    <w:p w:rsidR="003D12CB" w:rsidRDefault="003D12CB" w:rsidP="003D12CB">
      <w:pPr>
        <w:pStyle w:val="NoSpacing"/>
        <w:jc w:val="both"/>
        <w:rPr>
          <w:rFonts w:ascii="Cambria" w:hAnsi="Cambria"/>
          <w:snapToGrid w:val="0"/>
          <w:sz w:val="22"/>
          <w:szCs w:val="22"/>
        </w:rPr>
      </w:pPr>
      <w:r>
        <w:rPr>
          <w:rFonts w:ascii="Cambria" w:hAnsi="Cambria"/>
          <w:snapToGrid w:val="0"/>
          <w:sz w:val="22"/>
          <w:szCs w:val="22"/>
        </w:rPr>
        <w:t xml:space="preserve">                   </w:t>
      </w:r>
      <w:r>
        <w:rPr>
          <w:snapToGrid w:val="0"/>
          <w:sz w:val="22"/>
          <w:szCs w:val="22"/>
        </w:rPr>
        <w:t xml:space="preserve">                </w:t>
      </w:r>
    </w:p>
    <w:p w:rsidR="003D12CB" w:rsidRDefault="003D12CB" w:rsidP="003D12CB">
      <w:pPr>
        <w:pStyle w:val="NoSpacing"/>
        <w:jc w:val="both"/>
        <w:rPr>
          <w:rFonts w:ascii="Cambria" w:hAnsi="Cambria"/>
          <w:b/>
          <w:snapToGrid w:val="0"/>
          <w:sz w:val="22"/>
          <w:szCs w:val="22"/>
        </w:rPr>
      </w:pPr>
      <w:r>
        <w:rPr>
          <w:rFonts w:ascii="Cambria" w:hAnsi="Cambria"/>
          <w:b/>
          <w:snapToGrid w:val="0"/>
          <w:sz w:val="22"/>
          <w:szCs w:val="22"/>
        </w:rPr>
        <w:t>Contd. Annexure-A</w:t>
      </w:r>
    </w:p>
    <w:p w:rsidR="003D12CB" w:rsidRDefault="003D12CB" w:rsidP="003D12CB">
      <w:pPr>
        <w:pStyle w:val="NoSpacing"/>
        <w:rPr>
          <w:sz w:val="22"/>
          <w:szCs w:val="22"/>
        </w:rPr>
      </w:pPr>
    </w:p>
    <w:p w:rsidR="003D12CB" w:rsidRDefault="003D12CB" w:rsidP="003D12CB">
      <w:pPr>
        <w:pStyle w:val="NoSpacing"/>
        <w:rPr>
          <w:sz w:val="22"/>
          <w:szCs w:val="22"/>
        </w:rPr>
      </w:pPr>
    </w:p>
    <w:p w:rsidR="003D12CB" w:rsidRDefault="003D12CB" w:rsidP="003D12CB">
      <w:pPr>
        <w:pStyle w:val="NoSpacing"/>
        <w:rPr>
          <w:sz w:val="22"/>
          <w:szCs w:val="22"/>
        </w:rPr>
      </w:pPr>
      <w:r>
        <w:rPr>
          <w:sz w:val="22"/>
          <w:szCs w:val="22"/>
        </w:rPr>
        <w:t xml:space="preserve">                                                                                                                Sd</w:t>
      </w:r>
      <w:proofErr w:type="gramStart"/>
      <w:r>
        <w:rPr>
          <w:sz w:val="22"/>
          <w:szCs w:val="22"/>
        </w:rPr>
        <w:t>./</w:t>
      </w:r>
      <w:proofErr w:type="gramEnd"/>
      <w:r>
        <w:rPr>
          <w:sz w:val="22"/>
          <w:szCs w:val="22"/>
        </w:rPr>
        <w:t xml:space="preserve"> 06/11/2015                  </w:t>
      </w:r>
    </w:p>
    <w:p w:rsidR="003D12CB" w:rsidRDefault="003D12CB" w:rsidP="003D12CB">
      <w:pPr>
        <w:pStyle w:val="NoSpacing"/>
        <w:rPr>
          <w:sz w:val="4"/>
          <w:szCs w:val="22"/>
        </w:rPr>
      </w:pPr>
    </w:p>
    <w:p w:rsidR="003D12CB" w:rsidRDefault="003D12CB" w:rsidP="003D12CB">
      <w:pPr>
        <w:pStyle w:val="NoSpacing"/>
        <w:ind w:left="2160"/>
        <w:rPr>
          <w:rFonts w:ascii="Cambria" w:hAnsi="Cambria"/>
          <w:b/>
          <w:snapToGrid w:val="0"/>
          <w:sz w:val="22"/>
          <w:szCs w:val="22"/>
        </w:rPr>
      </w:pPr>
      <w:r>
        <w:rPr>
          <w:sz w:val="22"/>
          <w:szCs w:val="22"/>
        </w:rPr>
        <w:t xml:space="preserve">                                                          </w:t>
      </w:r>
      <w:r>
        <w:rPr>
          <w:rFonts w:ascii="Cambria" w:hAnsi="Cambria"/>
          <w:b/>
          <w:snapToGrid w:val="0"/>
          <w:sz w:val="22"/>
          <w:szCs w:val="22"/>
        </w:rPr>
        <w:t>Director of Family Welfare &amp; P.M</w:t>
      </w:r>
    </w:p>
    <w:p w:rsidR="003D12CB" w:rsidRDefault="003D12CB" w:rsidP="003D12CB">
      <w:pPr>
        <w:pStyle w:val="NoSpacing"/>
        <w:ind w:left="1440"/>
        <w:jc w:val="both"/>
        <w:rPr>
          <w:rFonts w:ascii="Cambria" w:hAnsi="Cambria"/>
          <w:b/>
          <w:snapToGrid w:val="0"/>
          <w:sz w:val="22"/>
          <w:szCs w:val="22"/>
        </w:rPr>
      </w:pPr>
      <w:r>
        <w:rPr>
          <w:rFonts w:ascii="Cambria" w:hAnsi="Cambria"/>
          <w:b/>
          <w:snapToGrid w:val="0"/>
          <w:sz w:val="22"/>
          <w:szCs w:val="22"/>
        </w:rPr>
        <w:t xml:space="preserve">                                                                                Government of Tripura, Agartala</w:t>
      </w:r>
    </w:p>
    <w:p w:rsidR="003D12CB" w:rsidRDefault="003D12CB" w:rsidP="003D12CB">
      <w:pPr>
        <w:pStyle w:val="NoSpacing"/>
        <w:ind w:left="1440"/>
        <w:jc w:val="both"/>
        <w:rPr>
          <w:b/>
          <w:color w:val="4F81BD" w:themeColor="accent1"/>
          <w:sz w:val="22"/>
          <w:szCs w:val="22"/>
        </w:rPr>
      </w:pPr>
    </w:p>
    <w:p w:rsidR="003D12CB" w:rsidRDefault="003D12CB" w:rsidP="003D12CB">
      <w:pPr>
        <w:pStyle w:val="NoSpacing"/>
        <w:jc w:val="both"/>
        <w:rPr>
          <w:rFonts w:ascii="Cambria" w:hAnsi="Cambria"/>
          <w:b/>
          <w:snapToGrid w:val="0"/>
          <w:sz w:val="22"/>
          <w:szCs w:val="22"/>
        </w:rPr>
      </w:pPr>
    </w:p>
    <w:p w:rsidR="003D12CB" w:rsidRDefault="003D12CB" w:rsidP="003D12CB">
      <w:pPr>
        <w:rPr>
          <w:b/>
          <w:sz w:val="2"/>
          <w:u w:val="single"/>
        </w:rPr>
      </w:pPr>
    </w:p>
    <w:p w:rsidR="003D12CB" w:rsidRDefault="003D12CB" w:rsidP="003D12CB">
      <w:pPr>
        <w:rPr>
          <w:b/>
          <w:u w:val="single"/>
        </w:rPr>
      </w:pPr>
    </w:p>
    <w:p w:rsidR="003D12CB" w:rsidRDefault="003D12CB" w:rsidP="003D12CB">
      <w:pPr>
        <w:pStyle w:val="NoSpacing"/>
        <w:jc w:val="both"/>
        <w:rPr>
          <w:rFonts w:ascii="Cambria" w:hAnsi="Cambria"/>
          <w:b/>
          <w:snapToGrid w:val="0"/>
          <w:sz w:val="22"/>
          <w:szCs w:val="22"/>
        </w:rPr>
      </w:pPr>
      <w:r>
        <w:rPr>
          <w:rFonts w:ascii="Cambria" w:hAnsi="Cambria"/>
          <w:b/>
          <w:snapToGrid w:val="0"/>
          <w:sz w:val="22"/>
          <w:szCs w:val="22"/>
        </w:rPr>
        <w:lastRenderedPageBreak/>
        <w:t>Contd. Annexure-A</w:t>
      </w:r>
    </w:p>
    <w:p w:rsidR="003D12CB" w:rsidRDefault="003D12CB" w:rsidP="003D12CB">
      <w:pPr>
        <w:jc w:val="center"/>
        <w:rPr>
          <w:b/>
          <w:u w:val="single"/>
        </w:rPr>
      </w:pPr>
      <w:r>
        <w:rPr>
          <w:b/>
          <w:u w:val="single"/>
        </w:rPr>
        <w:t>List of the Equipments</w:t>
      </w:r>
    </w:p>
    <w:tbl>
      <w:tblPr>
        <w:tblStyle w:val="TableGrid"/>
        <w:tblW w:w="10440" w:type="dxa"/>
        <w:tblInd w:w="-702" w:type="dxa"/>
        <w:tblLook w:val="04A0"/>
      </w:tblPr>
      <w:tblGrid>
        <w:gridCol w:w="755"/>
        <w:gridCol w:w="6635"/>
        <w:gridCol w:w="1881"/>
        <w:gridCol w:w="1169"/>
      </w:tblGrid>
      <w:tr w:rsidR="003D12CB" w:rsidTr="003D12CB">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2CB" w:rsidRDefault="003D12CB">
            <w:pPr>
              <w:rPr>
                <w:b/>
              </w:rPr>
            </w:pPr>
            <w:proofErr w:type="spellStart"/>
            <w:r>
              <w:rPr>
                <w:b/>
              </w:rPr>
              <w:t>Sl.No</w:t>
            </w:r>
            <w:proofErr w:type="spellEnd"/>
            <w:r>
              <w:rPr>
                <w:b/>
              </w:rPr>
              <w:t>.</w:t>
            </w:r>
          </w:p>
        </w:tc>
        <w:tc>
          <w:tcPr>
            <w:tcW w:w="6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2CB" w:rsidRDefault="003D12CB">
            <w:pPr>
              <w:rPr>
                <w:b/>
              </w:rPr>
            </w:pPr>
            <w:r>
              <w:rPr>
                <w:b/>
              </w:rPr>
              <w:t xml:space="preserve">Name of the equipment  with specification </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2CB" w:rsidRDefault="003D12CB">
            <w:pPr>
              <w:rPr>
                <w:b/>
              </w:rPr>
            </w:pPr>
            <w:r>
              <w:rPr>
                <w:b/>
              </w:rPr>
              <w:t>Present position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12CB" w:rsidRDefault="003D12CB">
            <w:pPr>
              <w:rPr>
                <w:b/>
              </w:rPr>
            </w:pPr>
            <w:r>
              <w:rPr>
                <w:b/>
              </w:rPr>
              <w:t xml:space="preserve">Required </w:t>
            </w:r>
          </w:p>
        </w:tc>
      </w:tr>
      <w:tr w:rsidR="003D12CB" w:rsidTr="003D12CB">
        <w:trPr>
          <w:trHeight w:val="1800"/>
        </w:trPr>
        <w:tc>
          <w:tcPr>
            <w:tcW w:w="694" w:type="dxa"/>
            <w:tcBorders>
              <w:top w:val="single" w:sz="4" w:space="0" w:color="auto"/>
              <w:left w:val="single" w:sz="4" w:space="0" w:color="000000" w:themeColor="text1"/>
              <w:bottom w:val="single" w:sz="4" w:space="0" w:color="auto"/>
              <w:right w:val="single" w:sz="4" w:space="0" w:color="000000" w:themeColor="text1"/>
            </w:tcBorders>
            <w:hideMark/>
          </w:tcPr>
          <w:p w:rsidR="003D12CB" w:rsidRDefault="003D12CB">
            <w:r>
              <w:t>1.</w:t>
            </w:r>
          </w:p>
        </w:tc>
        <w:tc>
          <w:tcPr>
            <w:tcW w:w="6686" w:type="dxa"/>
            <w:tcBorders>
              <w:top w:val="single" w:sz="4" w:space="0" w:color="auto"/>
              <w:left w:val="single" w:sz="4" w:space="0" w:color="000000" w:themeColor="text1"/>
              <w:bottom w:val="single" w:sz="4" w:space="0" w:color="auto"/>
              <w:right w:val="single" w:sz="4" w:space="0" w:color="auto"/>
            </w:tcBorders>
            <w:hideMark/>
          </w:tcPr>
          <w:p w:rsidR="003D12CB" w:rsidRDefault="003D12CB">
            <w:pPr>
              <w:rPr>
                <w:b/>
                <w:sz w:val="20"/>
                <w:szCs w:val="20"/>
              </w:rPr>
            </w:pPr>
            <w:r>
              <w:rPr>
                <w:b/>
                <w:sz w:val="20"/>
                <w:szCs w:val="20"/>
              </w:rPr>
              <w:t>Turbidity meter (Electric)</w:t>
            </w:r>
          </w:p>
          <w:p w:rsidR="003D12CB" w:rsidRDefault="003D12CB">
            <w:pPr>
              <w:rPr>
                <w:b/>
                <w:sz w:val="20"/>
                <w:szCs w:val="20"/>
                <w:u w:val="single"/>
              </w:rPr>
            </w:pPr>
            <w:r>
              <w:rPr>
                <w:b/>
                <w:sz w:val="20"/>
                <w:szCs w:val="20"/>
                <w:u w:val="single"/>
              </w:rPr>
              <w:t>(a).Specification:-</w:t>
            </w:r>
          </w:p>
          <w:p w:rsidR="003D12CB" w:rsidRDefault="003D12CB">
            <w:pPr>
              <w:rPr>
                <w:sz w:val="20"/>
                <w:szCs w:val="20"/>
              </w:rPr>
            </w:pPr>
            <w:r>
              <w:rPr>
                <w:sz w:val="20"/>
                <w:szCs w:val="20"/>
              </w:rPr>
              <w:t xml:space="preserve">     Lab. Turbidity meter </w:t>
            </w:r>
            <w:proofErr w:type="spellStart"/>
            <w:r>
              <w:rPr>
                <w:sz w:val="20"/>
                <w:szCs w:val="20"/>
              </w:rPr>
              <w:t>turbiquant</w:t>
            </w:r>
            <w:proofErr w:type="spellEnd"/>
            <w:r>
              <w:rPr>
                <w:sz w:val="20"/>
                <w:szCs w:val="20"/>
              </w:rPr>
              <w:t xml:space="preserve"> 1500T with     </w:t>
            </w:r>
          </w:p>
          <w:p w:rsidR="003D12CB" w:rsidRDefault="003D12CB">
            <w:pPr>
              <w:rPr>
                <w:sz w:val="20"/>
                <w:szCs w:val="20"/>
              </w:rPr>
            </w:pPr>
            <w:r>
              <w:rPr>
                <w:sz w:val="20"/>
                <w:szCs w:val="20"/>
              </w:rPr>
              <w:t xml:space="preserve">     universal power supply 90-250 V,3(without   </w:t>
            </w:r>
          </w:p>
          <w:p w:rsidR="003D12CB" w:rsidRDefault="003D12CB">
            <w:pPr>
              <w:rPr>
                <w:sz w:val="20"/>
                <w:szCs w:val="20"/>
              </w:rPr>
            </w:pPr>
            <w:r>
              <w:rPr>
                <w:sz w:val="20"/>
                <w:szCs w:val="20"/>
              </w:rPr>
              <w:t xml:space="preserve">     calibration standard) 2 empty </w:t>
            </w:r>
            <w:proofErr w:type="spellStart"/>
            <w:r>
              <w:rPr>
                <w:sz w:val="20"/>
                <w:szCs w:val="20"/>
              </w:rPr>
              <w:t>cuvettes</w:t>
            </w:r>
            <w:proofErr w:type="spellEnd"/>
            <w:r>
              <w:rPr>
                <w:sz w:val="20"/>
                <w:szCs w:val="20"/>
              </w:rPr>
              <w:t xml:space="preserve"> , product  </w:t>
            </w:r>
          </w:p>
          <w:p w:rsidR="003D12CB" w:rsidRDefault="003D12CB">
            <w:pPr>
              <w:rPr>
                <w:sz w:val="20"/>
                <w:szCs w:val="20"/>
              </w:rPr>
            </w:pPr>
            <w:r>
              <w:rPr>
                <w:sz w:val="20"/>
                <w:szCs w:val="20"/>
              </w:rPr>
              <w:t xml:space="preserve">     code no. 1.18331.0001</w:t>
            </w:r>
          </w:p>
          <w:p w:rsidR="003D12CB" w:rsidRDefault="003D12CB">
            <w:pPr>
              <w:rPr>
                <w:sz w:val="20"/>
                <w:szCs w:val="20"/>
              </w:rPr>
            </w:pPr>
            <w:r>
              <w:rPr>
                <w:sz w:val="20"/>
                <w:szCs w:val="20"/>
              </w:rPr>
              <w:t xml:space="preserve">     Mfg.-Merck </w:t>
            </w:r>
            <w:proofErr w:type="spellStart"/>
            <w:r>
              <w:rPr>
                <w:sz w:val="20"/>
                <w:szCs w:val="20"/>
              </w:rPr>
              <w:t>specialities</w:t>
            </w:r>
            <w:proofErr w:type="spellEnd"/>
            <w:r>
              <w:rPr>
                <w:sz w:val="20"/>
                <w:szCs w:val="20"/>
              </w:rPr>
              <w:t xml:space="preserve"> pvt.ltd.</w:t>
            </w:r>
          </w:p>
          <w:p w:rsidR="003D12CB" w:rsidRDefault="003D12CB">
            <w:pPr>
              <w:rPr>
                <w:b/>
                <w:sz w:val="20"/>
                <w:szCs w:val="20"/>
              </w:rPr>
            </w:pPr>
            <w:r>
              <w:rPr>
                <w:b/>
                <w:sz w:val="20"/>
                <w:szCs w:val="20"/>
              </w:rPr>
              <w:t>b). Accessories for  turbidity meter:-</w:t>
            </w:r>
          </w:p>
          <w:p w:rsidR="003D12CB" w:rsidRDefault="003D12CB">
            <w:pPr>
              <w:rPr>
                <w:sz w:val="20"/>
                <w:szCs w:val="20"/>
              </w:rPr>
            </w:pPr>
            <w:r>
              <w:rPr>
                <w:sz w:val="20"/>
                <w:szCs w:val="20"/>
              </w:rPr>
              <w:t xml:space="preserve">     Calibration standard set, 0.02-10.0-1000 NTU for   </w:t>
            </w:r>
          </w:p>
          <w:p w:rsidR="003D12CB" w:rsidRDefault="003D12CB">
            <w:pPr>
              <w:rPr>
                <w:sz w:val="20"/>
                <w:szCs w:val="20"/>
              </w:rPr>
            </w:pPr>
            <w:r>
              <w:rPr>
                <w:sz w:val="20"/>
                <w:szCs w:val="20"/>
              </w:rPr>
              <w:t xml:space="preserve">      </w:t>
            </w:r>
            <w:proofErr w:type="spellStart"/>
            <w:proofErr w:type="gramStart"/>
            <w:r>
              <w:rPr>
                <w:sz w:val="20"/>
                <w:szCs w:val="20"/>
              </w:rPr>
              <w:t>turbiquant</w:t>
            </w:r>
            <w:proofErr w:type="spellEnd"/>
            <w:proofErr w:type="gramEnd"/>
            <w:r>
              <w:rPr>
                <w:sz w:val="20"/>
                <w:szCs w:val="20"/>
              </w:rPr>
              <w:t xml:space="preserve"> 1500IR/1500 T. product code no.  </w:t>
            </w:r>
          </w:p>
          <w:p w:rsidR="003D12CB" w:rsidRDefault="003D12CB">
            <w:pPr>
              <w:rPr>
                <w:sz w:val="20"/>
                <w:szCs w:val="20"/>
              </w:rPr>
            </w:pPr>
            <w:r>
              <w:rPr>
                <w:sz w:val="20"/>
                <w:szCs w:val="20"/>
              </w:rPr>
              <w:t xml:space="preserve">      1.18328.0001.</w:t>
            </w:r>
          </w:p>
          <w:p w:rsidR="003D12CB" w:rsidRDefault="003D12CB">
            <w:r>
              <w:rPr>
                <w:sz w:val="20"/>
                <w:szCs w:val="20"/>
              </w:rPr>
              <w:t xml:space="preserve">      Mfg. by-Merck </w:t>
            </w:r>
            <w:proofErr w:type="spellStart"/>
            <w:r>
              <w:rPr>
                <w:sz w:val="20"/>
                <w:szCs w:val="20"/>
              </w:rPr>
              <w:t>Specialities</w:t>
            </w:r>
            <w:proofErr w:type="spellEnd"/>
            <w:r>
              <w:rPr>
                <w:sz w:val="20"/>
                <w:szCs w:val="20"/>
              </w:rPr>
              <w:t xml:space="preserve"> Pvt. Ltd.</w:t>
            </w:r>
          </w:p>
        </w:tc>
        <w:tc>
          <w:tcPr>
            <w:tcW w:w="1890" w:type="dxa"/>
            <w:tcBorders>
              <w:top w:val="single" w:sz="4" w:space="0" w:color="auto"/>
              <w:left w:val="single" w:sz="4" w:space="0" w:color="auto"/>
              <w:bottom w:val="single" w:sz="4" w:space="0" w:color="auto"/>
              <w:right w:val="single" w:sz="4" w:space="0" w:color="000000" w:themeColor="text1"/>
            </w:tcBorders>
          </w:tcPr>
          <w:p w:rsidR="003D12CB" w:rsidRDefault="003D12CB">
            <w:pPr>
              <w:ind w:right="-108"/>
            </w:pPr>
            <w:r>
              <w:t xml:space="preserve">1no. </w:t>
            </w:r>
          </w:p>
          <w:p w:rsidR="003D12CB" w:rsidRDefault="003D12CB"/>
          <w:p w:rsidR="003D12CB" w:rsidRDefault="003D12CB"/>
          <w:p w:rsidR="003D12CB" w:rsidRDefault="003D12CB"/>
          <w:p w:rsidR="003D12CB" w:rsidRDefault="003D12CB"/>
          <w:p w:rsidR="003D12CB" w:rsidRDefault="003D12CB"/>
          <w:p w:rsidR="003D12CB" w:rsidRDefault="003D12CB"/>
          <w:p w:rsidR="003D12CB" w:rsidRDefault="003D12CB"/>
          <w:p w:rsidR="003D12CB" w:rsidRDefault="003D12CB"/>
          <w:p w:rsidR="003D12CB" w:rsidRDefault="003D12CB"/>
        </w:tc>
        <w:tc>
          <w:tcPr>
            <w:tcW w:w="1170" w:type="dxa"/>
            <w:tcBorders>
              <w:top w:val="single" w:sz="4" w:space="0" w:color="auto"/>
              <w:left w:val="single" w:sz="4" w:space="0" w:color="000000" w:themeColor="text1"/>
              <w:bottom w:val="single" w:sz="4" w:space="0" w:color="auto"/>
              <w:right w:val="single" w:sz="4" w:space="0" w:color="auto"/>
            </w:tcBorders>
            <w:hideMark/>
          </w:tcPr>
          <w:p w:rsidR="003D12CB" w:rsidRDefault="003D12CB">
            <w:r>
              <w:t>1set</w:t>
            </w:r>
          </w:p>
        </w:tc>
      </w:tr>
      <w:tr w:rsidR="003D12CB" w:rsidTr="003D12CB">
        <w:trPr>
          <w:trHeight w:val="233"/>
        </w:trPr>
        <w:tc>
          <w:tcPr>
            <w:tcW w:w="694" w:type="dxa"/>
            <w:tcBorders>
              <w:top w:val="single" w:sz="4" w:space="0" w:color="auto"/>
              <w:left w:val="single" w:sz="4" w:space="0" w:color="000000" w:themeColor="text1"/>
              <w:bottom w:val="single" w:sz="4" w:space="0" w:color="auto"/>
              <w:right w:val="single" w:sz="4" w:space="0" w:color="000000" w:themeColor="text1"/>
            </w:tcBorders>
            <w:hideMark/>
          </w:tcPr>
          <w:p w:rsidR="003D12CB" w:rsidRDefault="003D12CB">
            <w:r>
              <w:t>2.</w:t>
            </w:r>
          </w:p>
        </w:tc>
        <w:tc>
          <w:tcPr>
            <w:tcW w:w="6686" w:type="dxa"/>
            <w:tcBorders>
              <w:top w:val="single" w:sz="4" w:space="0" w:color="auto"/>
              <w:left w:val="single" w:sz="4" w:space="0" w:color="000000" w:themeColor="text1"/>
              <w:bottom w:val="single" w:sz="4" w:space="0" w:color="auto"/>
              <w:right w:val="single" w:sz="4" w:space="0" w:color="auto"/>
            </w:tcBorders>
            <w:hideMark/>
          </w:tcPr>
          <w:p w:rsidR="003D12CB" w:rsidRDefault="003D12CB">
            <w:pPr>
              <w:rPr>
                <w:b/>
                <w:sz w:val="20"/>
                <w:szCs w:val="20"/>
              </w:rPr>
            </w:pPr>
            <w:r>
              <w:rPr>
                <w:b/>
                <w:sz w:val="20"/>
                <w:szCs w:val="20"/>
              </w:rPr>
              <w:t>Flame Photometer</w:t>
            </w:r>
          </w:p>
          <w:p w:rsidR="003D12CB" w:rsidRDefault="003D12CB">
            <w:pPr>
              <w:rPr>
                <w:b/>
                <w:sz w:val="20"/>
                <w:szCs w:val="20"/>
                <w:u w:val="single"/>
              </w:rPr>
            </w:pPr>
            <w:r>
              <w:rPr>
                <w:b/>
                <w:sz w:val="20"/>
                <w:szCs w:val="20"/>
                <w:u w:val="single"/>
              </w:rPr>
              <w:t>Specification:-</w:t>
            </w:r>
          </w:p>
          <w:p w:rsidR="003D12CB" w:rsidRDefault="003D12CB">
            <w:pPr>
              <w:rPr>
                <w:sz w:val="20"/>
                <w:szCs w:val="20"/>
              </w:rPr>
            </w:pPr>
            <w:r>
              <w:rPr>
                <w:sz w:val="20"/>
                <w:szCs w:val="20"/>
              </w:rPr>
              <w:t xml:space="preserve">a). Microprocessor based instrument with facility   </w:t>
            </w:r>
          </w:p>
          <w:p w:rsidR="003D12CB" w:rsidRDefault="003D12CB">
            <w:pPr>
              <w:rPr>
                <w:sz w:val="20"/>
                <w:szCs w:val="20"/>
              </w:rPr>
            </w:pPr>
            <w:r>
              <w:rPr>
                <w:sz w:val="20"/>
                <w:szCs w:val="20"/>
              </w:rPr>
              <w:t xml:space="preserve">      </w:t>
            </w:r>
            <w:proofErr w:type="gramStart"/>
            <w:r>
              <w:rPr>
                <w:sz w:val="20"/>
                <w:szCs w:val="20"/>
              </w:rPr>
              <w:t>for</w:t>
            </w:r>
            <w:proofErr w:type="gramEnd"/>
            <w:r>
              <w:rPr>
                <w:sz w:val="20"/>
                <w:szCs w:val="20"/>
              </w:rPr>
              <w:t xml:space="preserve"> printer connection.</w:t>
            </w:r>
          </w:p>
          <w:p w:rsidR="003D12CB" w:rsidRDefault="003D12CB">
            <w:pPr>
              <w:rPr>
                <w:sz w:val="20"/>
                <w:szCs w:val="20"/>
              </w:rPr>
            </w:pPr>
            <w:r>
              <w:rPr>
                <w:sz w:val="20"/>
                <w:szCs w:val="20"/>
              </w:rPr>
              <w:t xml:space="preserve">b). The instrument shall have advantage of   </w:t>
            </w:r>
          </w:p>
          <w:p w:rsidR="003D12CB" w:rsidRDefault="003D12CB">
            <w:pPr>
              <w:rPr>
                <w:sz w:val="20"/>
                <w:szCs w:val="20"/>
              </w:rPr>
            </w:pPr>
            <w:r>
              <w:rPr>
                <w:sz w:val="20"/>
                <w:szCs w:val="20"/>
              </w:rPr>
              <w:t xml:space="preserve">      automatic ignition system and automatic shut    </w:t>
            </w:r>
          </w:p>
          <w:p w:rsidR="003D12CB" w:rsidRDefault="003D12CB">
            <w:pPr>
              <w:rPr>
                <w:sz w:val="20"/>
                <w:szCs w:val="20"/>
              </w:rPr>
            </w:pPr>
            <w:r>
              <w:rPr>
                <w:sz w:val="20"/>
                <w:szCs w:val="20"/>
              </w:rPr>
              <w:t xml:space="preserve">      </w:t>
            </w:r>
            <w:proofErr w:type="gramStart"/>
            <w:r>
              <w:rPr>
                <w:sz w:val="20"/>
                <w:szCs w:val="20"/>
              </w:rPr>
              <w:t>off</w:t>
            </w:r>
            <w:proofErr w:type="gramEnd"/>
            <w:r>
              <w:rPr>
                <w:sz w:val="20"/>
                <w:szCs w:val="20"/>
              </w:rPr>
              <w:t xml:space="preserve"> in case of </w:t>
            </w:r>
            <w:proofErr w:type="spellStart"/>
            <w:r>
              <w:rPr>
                <w:sz w:val="20"/>
                <w:szCs w:val="20"/>
              </w:rPr>
              <w:t>failature</w:t>
            </w:r>
            <w:proofErr w:type="spellEnd"/>
            <w:r>
              <w:rPr>
                <w:sz w:val="20"/>
                <w:szCs w:val="20"/>
              </w:rPr>
              <w:t xml:space="preserve"> of power.</w:t>
            </w:r>
          </w:p>
          <w:p w:rsidR="003D12CB" w:rsidRDefault="003D12CB">
            <w:pPr>
              <w:rPr>
                <w:sz w:val="20"/>
                <w:szCs w:val="20"/>
              </w:rPr>
            </w:pPr>
            <w:r>
              <w:rPr>
                <w:sz w:val="20"/>
                <w:szCs w:val="20"/>
              </w:rPr>
              <w:t xml:space="preserve">c). The Instrument can </w:t>
            </w:r>
            <w:proofErr w:type="spellStart"/>
            <w:r>
              <w:rPr>
                <w:sz w:val="20"/>
                <w:szCs w:val="20"/>
              </w:rPr>
              <w:t>simullacarsly</w:t>
            </w:r>
            <w:proofErr w:type="spellEnd"/>
            <w:r>
              <w:rPr>
                <w:sz w:val="20"/>
                <w:szCs w:val="20"/>
              </w:rPr>
              <w:t xml:space="preserve"> </w:t>
            </w:r>
            <w:proofErr w:type="spellStart"/>
            <w:r>
              <w:rPr>
                <w:sz w:val="20"/>
                <w:szCs w:val="20"/>
              </w:rPr>
              <w:t>analyse</w:t>
            </w:r>
            <w:proofErr w:type="spellEnd"/>
            <w:r>
              <w:rPr>
                <w:sz w:val="20"/>
                <w:szCs w:val="20"/>
              </w:rPr>
              <w:t xml:space="preserve"> Na, K,  </w:t>
            </w:r>
          </w:p>
          <w:p w:rsidR="003D12CB" w:rsidRDefault="003D12CB">
            <w:pPr>
              <w:rPr>
                <w:sz w:val="20"/>
                <w:szCs w:val="20"/>
              </w:rPr>
            </w:pPr>
            <w:r>
              <w:rPr>
                <w:sz w:val="20"/>
                <w:szCs w:val="20"/>
              </w:rPr>
              <w:t xml:space="preserve">      Li, </w:t>
            </w:r>
            <w:proofErr w:type="spellStart"/>
            <w:r>
              <w:rPr>
                <w:sz w:val="20"/>
                <w:szCs w:val="20"/>
              </w:rPr>
              <w:t>Ba</w:t>
            </w:r>
            <w:proofErr w:type="spellEnd"/>
            <w:r>
              <w:rPr>
                <w:sz w:val="20"/>
                <w:szCs w:val="20"/>
              </w:rPr>
              <w:t xml:space="preserve"> and Ca, in single aspiration. </w:t>
            </w:r>
          </w:p>
          <w:p w:rsidR="003D12CB" w:rsidRDefault="003D12CB">
            <w:pPr>
              <w:rPr>
                <w:sz w:val="20"/>
                <w:szCs w:val="20"/>
              </w:rPr>
            </w:pPr>
            <w:r>
              <w:rPr>
                <w:sz w:val="20"/>
                <w:szCs w:val="20"/>
              </w:rPr>
              <w:t xml:space="preserve">d). Standard solution of the above elements </w:t>
            </w:r>
          </w:p>
          <w:p w:rsidR="003D12CB" w:rsidRDefault="003D12CB">
            <w:pPr>
              <w:rPr>
                <w:sz w:val="20"/>
                <w:szCs w:val="20"/>
              </w:rPr>
            </w:pPr>
            <w:r>
              <w:rPr>
                <w:sz w:val="20"/>
                <w:szCs w:val="20"/>
              </w:rPr>
              <w:t xml:space="preserve">e). Sensitively of the elements shall be 0.5ppm.  </w:t>
            </w:r>
          </w:p>
          <w:p w:rsidR="003D12CB" w:rsidRDefault="003D12CB">
            <w:pPr>
              <w:rPr>
                <w:sz w:val="20"/>
                <w:szCs w:val="20"/>
              </w:rPr>
            </w:pPr>
            <w:r>
              <w:rPr>
                <w:sz w:val="20"/>
                <w:szCs w:val="20"/>
              </w:rPr>
              <w:t xml:space="preserve">      </w:t>
            </w:r>
            <w:proofErr w:type="spellStart"/>
            <w:proofErr w:type="gramStart"/>
            <w:r>
              <w:rPr>
                <w:sz w:val="20"/>
                <w:szCs w:val="20"/>
              </w:rPr>
              <w:t>Rangs</w:t>
            </w:r>
            <w:proofErr w:type="spellEnd"/>
            <w:r>
              <w:rPr>
                <w:sz w:val="20"/>
                <w:szCs w:val="20"/>
              </w:rPr>
              <w:t xml:space="preserve">  shall</w:t>
            </w:r>
            <w:proofErr w:type="gramEnd"/>
            <w:r>
              <w:rPr>
                <w:sz w:val="20"/>
                <w:szCs w:val="20"/>
              </w:rPr>
              <w:t xml:space="preserve"> be 1-100ppm for each elements.</w:t>
            </w:r>
          </w:p>
        </w:tc>
        <w:tc>
          <w:tcPr>
            <w:tcW w:w="1890" w:type="dxa"/>
            <w:tcBorders>
              <w:top w:val="single" w:sz="4" w:space="0" w:color="auto"/>
              <w:left w:val="single" w:sz="4" w:space="0" w:color="auto"/>
              <w:bottom w:val="single" w:sz="4" w:space="0" w:color="auto"/>
              <w:right w:val="single" w:sz="4" w:space="0" w:color="000000" w:themeColor="text1"/>
            </w:tcBorders>
            <w:hideMark/>
          </w:tcPr>
          <w:p w:rsidR="003D12CB" w:rsidRDefault="003D12CB">
            <w:r>
              <w:t xml:space="preserve">          Nil </w:t>
            </w:r>
          </w:p>
        </w:tc>
        <w:tc>
          <w:tcPr>
            <w:tcW w:w="1170" w:type="dxa"/>
            <w:tcBorders>
              <w:top w:val="single" w:sz="4" w:space="0" w:color="auto"/>
              <w:left w:val="single" w:sz="4" w:space="0" w:color="000000" w:themeColor="text1"/>
              <w:bottom w:val="single" w:sz="4" w:space="0" w:color="auto"/>
              <w:right w:val="single" w:sz="4" w:space="0" w:color="auto"/>
            </w:tcBorders>
            <w:hideMark/>
          </w:tcPr>
          <w:p w:rsidR="003D12CB" w:rsidRDefault="003D12CB">
            <w:r>
              <w:t>1set</w:t>
            </w:r>
          </w:p>
        </w:tc>
      </w:tr>
      <w:tr w:rsidR="003D12CB" w:rsidTr="003D12CB">
        <w:trPr>
          <w:trHeight w:val="750"/>
        </w:trPr>
        <w:tc>
          <w:tcPr>
            <w:tcW w:w="694" w:type="dxa"/>
            <w:tcBorders>
              <w:top w:val="single" w:sz="4" w:space="0" w:color="auto"/>
              <w:left w:val="single" w:sz="4" w:space="0" w:color="000000" w:themeColor="text1"/>
              <w:bottom w:val="single" w:sz="4" w:space="0" w:color="auto"/>
              <w:right w:val="single" w:sz="4" w:space="0" w:color="000000" w:themeColor="text1"/>
            </w:tcBorders>
            <w:hideMark/>
          </w:tcPr>
          <w:p w:rsidR="003D12CB" w:rsidRDefault="003D12CB">
            <w:r>
              <w:t>2.</w:t>
            </w:r>
          </w:p>
        </w:tc>
        <w:tc>
          <w:tcPr>
            <w:tcW w:w="6686" w:type="dxa"/>
            <w:tcBorders>
              <w:top w:val="single" w:sz="4" w:space="0" w:color="auto"/>
              <w:left w:val="single" w:sz="4" w:space="0" w:color="000000" w:themeColor="text1"/>
              <w:bottom w:val="single" w:sz="4" w:space="0" w:color="auto"/>
              <w:right w:val="single" w:sz="4" w:space="0" w:color="auto"/>
            </w:tcBorders>
            <w:hideMark/>
          </w:tcPr>
          <w:p w:rsidR="003D12CB" w:rsidRDefault="003D12CB">
            <w:pPr>
              <w:rPr>
                <w:sz w:val="20"/>
                <w:szCs w:val="20"/>
              </w:rPr>
            </w:pPr>
            <w:r>
              <w:rPr>
                <w:sz w:val="20"/>
                <w:szCs w:val="20"/>
              </w:rPr>
              <w:t>Muffle Furnace (digital)</w:t>
            </w:r>
          </w:p>
          <w:p w:rsidR="003D12CB" w:rsidRDefault="003D12CB">
            <w:pPr>
              <w:rPr>
                <w:b/>
                <w:sz w:val="20"/>
                <w:szCs w:val="20"/>
                <w:u w:val="single"/>
              </w:rPr>
            </w:pPr>
            <w:r>
              <w:rPr>
                <w:b/>
                <w:sz w:val="20"/>
                <w:szCs w:val="20"/>
                <w:u w:val="single"/>
              </w:rPr>
              <w:t xml:space="preserve">Specification:- </w:t>
            </w:r>
          </w:p>
          <w:p w:rsidR="003D12CB" w:rsidRDefault="003D12CB">
            <w:pPr>
              <w:rPr>
                <w:sz w:val="20"/>
                <w:szCs w:val="20"/>
              </w:rPr>
            </w:pPr>
            <w:r>
              <w:rPr>
                <w:sz w:val="20"/>
                <w:szCs w:val="20"/>
              </w:rPr>
              <w:t>Internal dimension 16”x7”x6”</w:t>
            </w:r>
          </w:p>
        </w:tc>
        <w:tc>
          <w:tcPr>
            <w:tcW w:w="1890" w:type="dxa"/>
            <w:tcBorders>
              <w:top w:val="single" w:sz="4" w:space="0" w:color="auto"/>
              <w:left w:val="single" w:sz="4" w:space="0" w:color="auto"/>
              <w:bottom w:val="single" w:sz="4" w:space="0" w:color="auto"/>
              <w:right w:val="single" w:sz="4" w:space="0" w:color="000000" w:themeColor="text1"/>
            </w:tcBorders>
          </w:tcPr>
          <w:p w:rsidR="003D12CB" w:rsidRDefault="003D12CB">
            <w:r>
              <w:t xml:space="preserve">4 nos. </w:t>
            </w:r>
          </w:p>
          <w:p w:rsidR="003D12CB" w:rsidRDefault="003D12CB"/>
          <w:p w:rsidR="003D12CB" w:rsidRDefault="003D12CB"/>
        </w:tc>
        <w:tc>
          <w:tcPr>
            <w:tcW w:w="1170" w:type="dxa"/>
            <w:tcBorders>
              <w:top w:val="single" w:sz="4" w:space="0" w:color="auto"/>
              <w:left w:val="single" w:sz="4" w:space="0" w:color="000000" w:themeColor="text1"/>
              <w:bottom w:val="single" w:sz="4" w:space="0" w:color="auto"/>
              <w:right w:val="single" w:sz="4" w:space="0" w:color="auto"/>
            </w:tcBorders>
            <w:hideMark/>
          </w:tcPr>
          <w:p w:rsidR="003D12CB" w:rsidRDefault="003D12CB">
            <w:r>
              <w:t>3Nos.</w:t>
            </w:r>
          </w:p>
        </w:tc>
      </w:tr>
      <w:tr w:rsidR="003D12CB" w:rsidTr="003D12CB">
        <w:trPr>
          <w:trHeight w:val="399"/>
        </w:trPr>
        <w:tc>
          <w:tcPr>
            <w:tcW w:w="694" w:type="dxa"/>
            <w:tcBorders>
              <w:top w:val="single" w:sz="4" w:space="0" w:color="auto"/>
              <w:left w:val="single" w:sz="4" w:space="0" w:color="000000" w:themeColor="text1"/>
              <w:bottom w:val="single" w:sz="4" w:space="0" w:color="auto"/>
              <w:right w:val="single" w:sz="4" w:space="0" w:color="000000" w:themeColor="text1"/>
            </w:tcBorders>
            <w:hideMark/>
          </w:tcPr>
          <w:p w:rsidR="003D12CB" w:rsidRDefault="003D12CB">
            <w:r>
              <w:t>3.</w:t>
            </w:r>
          </w:p>
        </w:tc>
        <w:tc>
          <w:tcPr>
            <w:tcW w:w="6686" w:type="dxa"/>
            <w:tcBorders>
              <w:top w:val="single" w:sz="4" w:space="0" w:color="auto"/>
              <w:left w:val="single" w:sz="4" w:space="0" w:color="000000" w:themeColor="text1"/>
              <w:bottom w:val="single" w:sz="4" w:space="0" w:color="auto"/>
              <w:right w:val="single" w:sz="4" w:space="0" w:color="auto"/>
            </w:tcBorders>
            <w:hideMark/>
          </w:tcPr>
          <w:p w:rsidR="003D12CB" w:rsidRDefault="003D12CB">
            <w:pPr>
              <w:rPr>
                <w:sz w:val="20"/>
                <w:szCs w:val="20"/>
              </w:rPr>
            </w:pPr>
            <w:r>
              <w:rPr>
                <w:sz w:val="20"/>
                <w:szCs w:val="20"/>
              </w:rPr>
              <w:t>Mixer grinder (Philips, 800 watt., 3Jars)</w:t>
            </w:r>
          </w:p>
        </w:tc>
        <w:tc>
          <w:tcPr>
            <w:tcW w:w="1890" w:type="dxa"/>
            <w:tcBorders>
              <w:top w:val="single" w:sz="4" w:space="0" w:color="auto"/>
              <w:left w:val="single" w:sz="4" w:space="0" w:color="auto"/>
              <w:bottom w:val="single" w:sz="4" w:space="0" w:color="auto"/>
              <w:right w:val="single" w:sz="4" w:space="0" w:color="000000" w:themeColor="text1"/>
            </w:tcBorders>
            <w:hideMark/>
          </w:tcPr>
          <w:p w:rsidR="003D12CB" w:rsidRDefault="003D12CB">
            <w:r>
              <w:t xml:space="preserve">1no. </w:t>
            </w:r>
          </w:p>
        </w:tc>
        <w:tc>
          <w:tcPr>
            <w:tcW w:w="1170" w:type="dxa"/>
            <w:tcBorders>
              <w:top w:val="single" w:sz="4" w:space="0" w:color="auto"/>
              <w:left w:val="single" w:sz="4" w:space="0" w:color="000000" w:themeColor="text1"/>
              <w:bottom w:val="single" w:sz="4" w:space="0" w:color="auto"/>
              <w:right w:val="single" w:sz="4" w:space="0" w:color="auto"/>
            </w:tcBorders>
            <w:hideMark/>
          </w:tcPr>
          <w:p w:rsidR="003D12CB" w:rsidRDefault="003D12CB">
            <w:r>
              <w:t>2Nos.</w:t>
            </w:r>
          </w:p>
        </w:tc>
      </w:tr>
      <w:tr w:rsidR="003D12CB" w:rsidTr="003D12CB">
        <w:trPr>
          <w:trHeight w:val="399"/>
        </w:trPr>
        <w:tc>
          <w:tcPr>
            <w:tcW w:w="694" w:type="dxa"/>
            <w:tcBorders>
              <w:top w:val="single" w:sz="4" w:space="0" w:color="auto"/>
              <w:left w:val="single" w:sz="4" w:space="0" w:color="000000" w:themeColor="text1"/>
              <w:bottom w:val="single" w:sz="4" w:space="0" w:color="auto"/>
              <w:right w:val="single" w:sz="4" w:space="0" w:color="000000" w:themeColor="text1"/>
            </w:tcBorders>
            <w:hideMark/>
          </w:tcPr>
          <w:p w:rsidR="003D12CB" w:rsidRDefault="003D12CB">
            <w:r>
              <w:t>4.</w:t>
            </w:r>
          </w:p>
        </w:tc>
        <w:tc>
          <w:tcPr>
            <w:tcW w:w="6686" w:type="dxa"/>
            <w:tcBorders>
              <w:top w:val="single" w:sz="4" w:space="0" w:color="auto"/>
              <w:left w:val="single" w:sz="4" w:space="0" w:color="000000" w:themeColor="text1"/>
              <w:bottom w:val="single" w:sz="4" w:space="0" w:color="auto"/>
              <w:right w:val="single" w:sz="4" w:space="0" w:color="auto"/>
            </w:tcBorders>
            <w:hideMark/>
          </w:tcPr>
          <w:p w:rsidR="003D12CB" w:rsidRDefault="003D12CB">
            <w:pPr>
              <w:rPr>
                <w:sz w:val="20"/>
                <w:szCs w:val="20"/>
              </w:rPr>
            </w:pPr>
            <w:proofErr w:type="spellStart"/>
            <w:r>
              <w:rPr>
                <w:sz w:val="20"/>
                <w:szCs w:val="20"/>
              </w:rPr>
              <w:t>Abbe</w:t>
            </w:r>
            <w:proofErr w:type="spellEnd"/>
            <w:r>
              <w:rPr>
                <w:sz w:val="20"/>
                <w:szCs w:val="20"/>
              </w:rPr>
              <w:t xml:space="preserve">  </w:t>
            </w:r>
            <w:proofErr w:type="spellStart"/>
            <w:r>
              <w:rPr>
                <w:sz w:val="20"/>
                <w:szCs w:val="20"/>
              </w:rPr>
              <w:t>Refractometer</w:t>
            </w:r>
            <w:proofErr w:type="spellEnd"/>
            <w:r>
              <w:rPr>
                <w:sz w:val="20"/>
                <w:szCs w:val="20"/>
              </w:rPr>
              <w:t xml:space="preserve"> (for sugar &amp; oil scale)</w:t>
            </w:r>
          </w:p>
          <w:p w:rsidR="003D12CB" w:rsidRDefault="003D12CB">
            <w:pPr>
              <w:rPr>
                <w:sz w:val="20"/>
                <w:szCs w:val="20"/>
              </w:rPr>
            </w:pPr>
            <w:r>
              <w:rPr>
                <w:sz w:val="20"/>
                <w:szCs w:val="20"/>
              </w:rPr>
              <w:t>ND Range                   : N.D. 1.3.000 to N.D. 1.7.000 in steps of 0.001</w:t>
            </w:r>
          </w:p>
          <w:p w:rsidR="003D12CB" w:rsidRDefault="003D12CB">
            <w:pPr>
              <w:rPr>
                <w:sz w:val="20"/>
                <w:szCs w:val="20"/>
              </w:rPr>
            </w:pPr>
            <w:r>
              <w:rPr>
                <w:sz w:val="20"/>
                <w:szCs w:val="20"/>
              </w:rPr>
              <w:t xml:space="preserve">Accuracy                    : 0.0002 </w:t>
            </w:r>
          </w:p>
          <w:p w:rsidR="003D12CB" w:rsidRDefault="003D12CB">
            <w:pPr>
              <w:rPr>
                <w:sz w:val="20"/>
                <w:szCs w:val="20"/>
              </w:rPr>
            </w:pPr>
            <w:r>
              <w:rPr>
                <w:sz w:val="20"/>
                <w:szCs w:val="20"/>
              </w:rPr>
              <w:t>Sugar Percentage     : 0 to 95% in steps of 1 Division</w:t>
            </w:r>
          </w:p>
          <w:p w:rsidR="003D12CB" w:rsidRDefault="003D12CB">
            <w:pPr>
              <w:rPr>
                <w:sz w:val="20"/>
                <w:szCs w:val="20"/>
              </w:rPr>
            </w:pPr>
            <w:r>
              <w:rPr>
                <w:sz w:val="20"/>
                <w:szCs w:val="20"/>
              </w:rPr>
              <w:t xml:space="preserve">Accuracy                    :± 0.5% </w:t>
            </w:r>
          </w:p>
          <w:p w:rsidR="003D12CB" w:rsidRDefault="003D12CB">
            <w:pPr>
              <w:rPr>
                <w:sz w:val="20"/>
                <w:szCs w:val="20"/>
              </w:rPr>
            </w:pPr>
            <w:r>
              <w:rPr>
                <w:sz w:val="20"/>
                <w:szCs w:val="20"/>
              </w:rPr>
              <w:t>Temperature             :0-50</w:t>
            </w:r>
            <w:r>
              <w:rPr>
                <w:sz w:val="20"/>
                <w:szCs w:val="20"/>
                <w:vertAlign w:val="superscript"/>
              </w:rPr>
              <w:t>0</w:t>
            </w:r>
            <w:r>
              <w:rPr>
                <w:sz w:val="20"/>
                <w:szCs w:val="20"/>
              </w:rPr>
              <w:t xml:space="preserve">C </w:t>
            </w:r>
          </w:p>
        </w:tc>
        <w:tc>
          <w:tcPr>
            <w:tcW w:w="1890" w:type="dxa"/>
            <w:tcBorders>
              <w:top w:val="single" w:sz="4" w:space="0" w:color="auto"/>
              <w:left w:val="single" w:sz="4" w:space="0" w:color="auto"/>
              <w:bottom w:val="single" w:sz="4" w:space="0" w:color="auto"/>
              <w:right w:val="single" w:sz="4" w:space="0" w:color="000000" w:themeColor="text1"/>
            </w:tcBorders>
          </w:tcPr>
          <w:p w:rsidR="003D12CB" w:rsidRDefault="003D12CB">
            <w:r>
              <w:t xml:space="preserve">1no. </w:t>
            </w:r>
          </w:p>
          <w:p w:rsidR="003D12CB" w:rsidRDefault="003D12CB"/>
          <w:p w:rsidR="003D12CB" w:rsidRDefault="003D12CB"/>
          <w:p w:rsidR="003D12CB" w:rsidRDefault="003D12CB"/>
          <w:p w:rsidR="003D12CB" w:rsidRDefault="003D12CB"/>
          <w:p w:rsidR="003D12CB" w:rsidRDefault="003D12CB"/>
        </w:tc>
        <w:tc>
          <w:tcPr>
            <w:tcW w:w="1170" w:type="dxa"/>
            <w:tcBorders>
              <w:top w:val="single" w:sz="4" w:space="0" w:color="auto"/>
              <w:left w:val="single" w:sz="4" w:space="0" w:color="000000" w:themeColor="text1"/>
              <w:bottom w:val="single" w:sz="4" w:space="0" w:color="auto"/>
              <w:right w:val="single" w:sz="4" w:space="0" w:color="auto"/>
            </w:tcBorders>
            <w:hideMark/>
          </w:tcPr>
          <w:p w:rsidR="003D12CB" w:rsidRDefault="003D12CB">
            <w:r>
              <w:t xml:space="preserve">2Nos. </w:t>
            </w:r>
          </w:p>
        </w:tc>
      </w:tr>
      <w:tr w:rsidR="003D12CB" w:rsidTr="003D12CB">
        <w:trPr>
          <w:trHeight w:val="399"/>
        </w:trPr>
        <w:tc>
          <w:tcPr>
            <w:tcW w:w="694" w:type="dxa"/>
            <w:tcBorders>
              <w:top w:val="single" w:sz="4" w:space="0" w:color="auto"/>
              <w:left w:val="single" w:sz="4" w:space="0" w:color="000000" w:themeColor="text1"/>
              <w:bottom w:val="single" w:sz="4" w:space="0" w:color="auto"/>
              <w:right w:val="single" w:sz="4" w:space="0" w:color="000000" w:themeColor="text1"/>
            </w:tcBorders>
            <w:hideMark/>
          </w:tcPr>
          <w:p w:rsidR="003D12CB" w:rsidRDefault="003D12CB">
            <w:r>
              <w:t>5.</w:t>
            </w:r>
          </w:p>
        </w:tc>
        <w:tc>
          <w:tcPr>
            <w:tcW w:w="6686" w:type="dxa"/>
            <w:tcBorders>
              <w:top w:val="single" w:sz="4" w:space="0" w:color="auto"/>
              <w:left w:val="single" w:sz="4" w:space="0" w:color="000000" w:themeColor="text1"/>
              <w:bottom w:val="single" w:sz="4" w:space="0" w:color="auto"/>
              <w:right w:val="single" w:sz="4" w:space="0" w:color="auto"/>
            </w:tcBorders>
            <w:hideMark/>
          </w:tcPr>
          <w:p w:rsidR="003D12CB" w:rsidRDefault="003D12CB">
            <w:pPr>
              <w:rPr>
                <w:sz w:val="20"/>
                <w:szCs w:val="20"/>
              </w:rPr>
            </w:pPr>
            <w:r>
              <w:rPr>
                <w:sz w:val="20"/>
                <w:szCs w:val="20"/>
              </w:rPr>
              <w:t xml:space="preserve">Digital Electronic balance (three digit after decimal) </w:t>
            </w:r>
          </w:p>
          <w:p w:rsidR="003D12CB" w:rsidRDefault="003D12CB">
            <w:pPr>
              <w:ind w:left="-64"/>
              <w:rPr>
                <w:sz w:val="20"/>
                <w:szCs w:val="20"/>
              </w:rPr>
            </w:pPr>
            <w:r>
              <w:rPr>
                <w:sz w:val="20"/>
                <w:szCs w:val="20"/>
              </w:rPr>
              <w:t>Capacity-2000gm</w:t>
            </w:r>
          </w:p>
          <w:p w:rsidR="003D12CB" w:rsidRDefault="003D12CB">
            <w:pPr>
              <w:rPr>
                <w:sz w:val="20"/>
                <w:szCs w:val="20"/>
              </w:rPr>
            </w:pPr>
            <w:r>
              <w:rPr>
                <w:sz w:val="20"/>
                <w:szCs w:val="20"/>
              </w:rPr>
              <w:t>Readability± 1gm.</w:t>
            </w:r>
          </w:p>
          <w:p w:rsidR="003D12CB" w:rsidRDefault="003D12CB">
            <w:pPr>
              <w:rPr>
                <w:sz w:val="20"/>
                <w:szCs w:val="20"/>
              </w:rPr>
            </w:pPr>
            <w:r>
              <w:rPr>
                <w:sz w:val="20"/>
                <w:szCs w:val="20"/>
              </w:rPr>
              <w:t>Testing mode -Auto</w:t>
            </w:r>
          </w:p>
        </w:tc>
        <w:tc>
          <w:tcPr>
            <w:tcW w:w="1890" w:type="dxa"/>
            <w:tcBorders>
              <w:top w:val="single" w:sz="4" w:space="0" w:color="auto"/>
              <w:left w:val="single" w:sz="4" w:space="0" w:color="auto"/>
              <w:bottom w:val="single" w:sz="4" w:space="0" w:color="auto"/>
              <w:right w:val="single" w:sz="4" w:space="0" w:color="000000" w:themeColor="text1"/>
            </w:tcBorders>
          </w:tcPr>
          <w:p w:rsidR="003D12CB" w:rsidRDefault="003D12CB">
            <w:r>
              <w:t xml:space="preserve"> Nil </w:t>
            </w:r>
          </w:p>
          <w:p w:rsidR="003D12CB" w:rsidRDefault="003D12CB"/>
        </w:tc>
        <w:tc>
          <w:tcPr>
            <w:tcW w:w="1170" w:type="dxa"/>
            <w:tcBorders>
              <w:top w:val="single" w:sz="4" w:space="0" w:color="auto"/>
              <w:left w:val="single" w:sz="4" w:space="0" w:color="000000" w:themeColor="text1"/>
              <w:bottom w:val="single" w:sz="4" w:space="0" w:color="auto"/>
              <w:right w:val="single" w:sz="4" w:space="0" w:color="auto"/>
            </w:tcBorders>
            <w:hideMark/>
          </w:tcPr>
          <w:p w:rsidR="003D12CB" w:rsidRDefault="003D12CB">
            <w:r>
              <w:t>1No.</w:t>
            </w:r>
          </w:p>
        </w:tc>
      </w:tr>
      <w:tr w:rsidR="003D12CB" w:rsidTr="003D12CB">
        <w:trPr>
          <w:trHeight w:val="399"/>
        </w:trPr>
        <w:tc>
          <w:tcPr>
            <w:tcW w:w="694" w:type="dxa"/>
            <w:tcBorders>
              <w:top w:val="single" w:sz="4" w:space="0" w:color="auto"/>
              <w:left w:val="single" w:sz="4" w:space="0" w:color="000000" w:themeColor="text1"/>
              <w:bottom w:val="single" w:sz="4" w:space="0" w:color="auto"/>
              <w:right w:val="single" w:sz="4" w:space="0" w:color="000000" w:themeColor="text1"/>
            </w:tcBorders>
            <w:hideMark/>
          </w:tcPr>
          <w:p w:rsidR="003D12CB" w:rsidRDefault="003D12CB">
            <w:r>
              <w:t>6.</w:t>
            </w:r>
          </w:p>
        </w:tc>
        <w:tc>
          <w:tcPr>
            <w:tcW w:w="6686" w:type="dxa"/>
            <w:tcBorders>
              <w:top w:val="single" w:sz="4" w:space="0" w:color="auto"/>
              <w:left w:val="single" w:sz="4" w:space="0" w:color="000000" w:themeColor="text1"/>
              <w:bottom w:val="single" w:sz="4" w:space="0" w:color="auto"/>
              <w:right w:val="single" w:sz="4" w:space="0" w:color="auto"/>
            </w:tcBorders>
            <w:hideMark/>
          </w:tcPr>
          <w:p w:rsidR="003D12CB" w:rsidRDefault="003D12CB">
            <w:pPr>
              <w:rPr>
                <w:sz w:val="20"/>
                <w:szCs w:val="20"/>
              </w:rPr>
            </w:pPr>
            <w:r>
              <w:rPr>
                <w:sz w:val="20"/>
                <w:szCs w:val="20"/>
              </w:rPr>
              <w:t>Digital Electronic balance 4 Digit (</w:t>
            </w:r>
            <w:proofErr w:type="spellStart"/>
            <w:r>
              <w:rPr>
                <w:sz w:val="20"/>
                <w:szCs w:val="20"/>
              </w:rPr>
              <w:t>Metler</w:t>
            </w:r>
            <w:proofErr w:type="spellEnd"/>
            <w:r>
              <w:rPr>
                <w:sz w:val="20"/>
                <w:szCs w:val="20"/>
              </w:rPr>
              <w:t>)</w:t>
            </w:r>
          </w:p>
          <w:p w:rsidR="003D12CB" w:rsidRDefault="003D12CB">
            <w:pPr>
              <w:rPr>
                <w:sz w:val="20"/>
                <w:szCs w:val="20"/>
              </w:rPr>
            </w:pPr>
            <w:r>
              <w:rPr>
                <w:sz w:val="20"/>
                <w:szCs w:val="20"/>
              </w:rPr>
              <w:t>Capacity =100gm.sensitivity ± 0.1mg.</w:t>
            </w:r>
          </w:p>
        </w:tc>
        <w:tc>
          <w:tcPr>
            <w:tcW w:w="1890" w:type="dxa"/>
            <w:tcBorders>
              <w:top w:val="single" w:sz="4" w:space="0" w:color="auto"/>
              <w:left w:val="single" w:sz="4" w:space="0" w:color="auto"/>
              <w:bottom w:val="single" w:sz="4" w:space="0" w:color="auto"/>
              <w:right w:val="single" w:sz="4" w:space="0" w:color="000000" w:themeColor="text1"/>
            </w:tcBorders>
          </w:tcPr>
          <w:p w:rsidR="003D12CB" w:rsidRDefault="003D12CB">
            <w:r>
              <w:t>1no.</w:t>
            </w:r>
          </w:p>
          <w:p w:rsidR="003D12CB" w:rsidRDefault="003D12CB"/>
        </w:tc>
        <w:tc>
          <w:tcPr>
            <w:tcW w:w="1170" w:type="dxa"/>
            <w:tcBorders>
              <w:top w:val="single" w:sz="4" w:space="0" w:color="auto"/>
              <w:left w:val="single" w:sz="4" w:space="0" w:color="000000" w:themeColor="text1"/>
              <w:bottom w:val="single" w:sz="4" w:space="0" w:color="auto"/>
              <w:right w:val="single" w:sz="4" w:space="0" w:color="auto"/>
            </w:tcBorders>
            <w:hideMark/>
          </w:tcPr>
          <w:p w:rsidR="003D12CB" w:rsidRDefault="003D12CB">
            <w:r>
              <w:t>1No.</w:t>
            </w:r>
          </w:p>
        </w:tc>
      </w:tr>
      <w:tr w:rsidR="003D12CB" w:rsidTr="003D12CB">
        <w:trPr>
          <w:trHeight w:val="399"/>
        </w:trPr>
        <w:tc>
          <w:tcPr>
            <w:tcW w:w="694" w:type="dxa"/>
            <w:tcBorders>
              <w:top w:val="single" w:sz="4" w:space="0" w:color="auto"/>
              <w:left w:val="single" w:sz="4" w:space="0" w:color="000000" w:themeColor="text1"/>
              <w:bottom w:val="single" w:sz="4" w:space="0" w:color="auto"/>
              <w:right w:val="single" w:sz="4" w:space="0" w:color="000000" w:themeColor="text1"/>
            </w:tcBorders>
            <w:hideMark/>
          </w:tcPr>
          <w:p w:rsidR="003D12CB" w:rsidRDefault="003D12CB">
            <w:r>
              <w:t>7.</w:t>
            </w:r>
          </w:p>
        </w:tc>
        <w:tc>
          <w:tcPr>
            <w:tcW w:w="6686" w:type="dxa"/>
            <w:tcBorders>
              <w:top w:val="single" w:sz="4" w:space="0" w:color="auto"/>
              <w:left w:val="single" w:sz="4" w:space="0" w:color="000000" w:themeColor="text1"/>
              <w:bottom w:val="single" w:sz="4" w:space="0" w:color="auto"/>
              <w:right w:val="single" w:sz="4" w:space="0" w:color="auto"/>
            </w:tcBorders>
            <w:hideMark/>
          </w:tcPr>
          <w:p w:rsidR="003D12CB" w:rsidRDefault="003D12CB">
            <w:pPr>
              <w:rPr>
                <w:sz w:val="20"/>
                <w:szCs w:val="20"/>
              </w:rPr>
            </w:pPr>
            <w:r>
              <w:rPr>
                <w:sz w:val="20"/>
                <w:szCs w:val="20"/>
              </w:rPr>
              <w:t>Digital precise Electronic balance 3 Digit (Dona)</w:t>
            </w:r>
          </w:p>
          <w:p w:rsidR="003D12CB" w:rsidRDefault="003D12CB">
            <w:pPr>
              <w:rPr>
                <w:sz w:val="20"/>
                <w:szCs w:val="20"/>
              </w:rPr>
            </w:pPr>
            <w:r>
              <w:rPr>
                <w:sz w:val="20"/>
                <w:szCs w:val="20"/>
              </w:rPr>
              <w:t>Capacity 300gm. Sensitivity±1mg.</w:t>
            </w:r>
          </w:p>
        </w:tc>
        <w:tc>
          <w:tcPr>
            <w:tcW w:w="1890" w:type="dxa"/>
            <w:tcBorders>
              <w:top w:val="single" w:sz="4" w:space="0" w:color="auto"/>
              <w:left w:val="single" w:sz="4" w:space="0" w:color="auto"/>
              <w:bottom w:val="single" w:sz="4" w:space="0" w:color="auto"/>
              <w:right w:val="single" w:sz="4" w:space="0" w:color="000000" w:themeColor="text1"/>
            </w:tcBorders>
            <w:hideMark/>
          </w:tcPr>
          <w:p w:rsidR="003D12CB" w:rsidRDefault="003D12CB">
            <w:r>
              <w:t xml:space="preserve">Nil </w:t>
            </w:r>
          </w:p>
        </w:tc>
        <w:tc>
          <w:tcPr>
            <w:tcW w:w="1170" w:type="dxa"/>
            <w:tcBorders>
              <w:top w:val="single" w:sz="4" w:space="0" w:color="auto"/>
              <w:left w:val="single" w:sz="4" w:space="0" w:color="000000" w:themeColor="text1"/>
              <w:bottom w:val="single" w:sz="4" w:space="0" w:color="auto"/>
              <w:right w:val="single" w:sz="4" w:space="0" w:color="auto"/>
            </w:tcBorders>
            <w:hideMark/>
          </w:tcPr>
          <w:p w:rsidR="003D12CB" w:rsidRDefault="003D12CB">
            <w:r>
              <w:t>2Nos.</w:t>
            </w:r>
          </w:p>
        </w:tc>
      </w:tr>
      <w:tr w:rsidR="003D12CB" w:rsidTr="003D12CB">
        <w:trPr>
          <w:trHeight w:val="368"/>
        </w:trPr>
        <w:tc>
          <w:tcPr>
            <w:tcW w:w="694" w:type="dxa"/>
            <w:tcBorders>
              <w:top w:val="single" w:sz="4" w:space="0" w:color="auto"/>
              <w:left w:val="single" w:sz="4" w:space="0" w:color="000000" w:themeColor="text1"/>
              <w:bottom w:val="single" w:sz="4" w:space="0" w:color="auto"/>
              <w:right w:val="single" w:sz="4" w:space="0" w:color="000000" w:themeColor="text1"/>
            </w:tcBorders>
            <w:hideMark/>
          </w:tcPr>
          <w:p w:rsidR="003D12CB" w:rsidRDefault="003D12CB">
            <w:r>
              <w:t>8.</w:t>
            </w:r>
          </w:p>
        </w:tc>
        <w:tc>
          <w:tcPr>
            <w:tcW w:w="6686" w:type="dxa"/>
            <w:tcBorders>
              <w:top w:val="single" w:sz="4" w:space="0" w:color="auto"/>
              <w:left w:val="single" w:sz="4" w:space="0" w:color="000000" w:themeColor="text1"/>
              <w:bottom w:val="single" w:sz="4" w:space="0" w:color="auto"/>
              <w:right w:val="single" w:sz="4" w:space="0" w:color="auto"/>
            </w:tcBorders>
            <w:hideMark/>
          </w:tcPr>
          <w:p w:rsidR="003D12CB" w:rsidRDefault="003D12CB">
            <w:pPr>
              <w:rPr>
                <w:sz w:val="20"/>
                <w:szCs w:val="20"/>
              </w:rPr>
            </w:pPr>
            <w:r>
              <w:rPr>
                <w:sz w:val="20"/>
                <w:szCs w:val="20"/>
              </w:rPr>
              <w:t xml:space="preserve">Refrigerator 220lts. (Double door)3 star </w:t>
            </w:r>
          </w:p>
        </w:tc>
        <w:tc>
          <w:tcPr>
            <w:tcW w:w="1890" w:type="dxa"/>
            <w:tcBorders>
              <w:top w:val="single" w:sz="4" w:space="0" w:color="auto"/>
              <w:left w:val="single" w:sz="4" w:space="0" w:color="auto"/>
              <w:bottom w:val="single" w:sz="4" w:space="0" w:color="auto"/>
              <w:right w:val="single" w:sz="4" w:space="0" w:color="000000" w:themeColor="text1"/>
            </w:tcBorders>
            <w:hideMark/>
          </w:tcPr>
          <w:p w:rsidR="003D12CB" w:rsidRDefault="003D12CB">
            <w:r>
              <w:t xml:space="preserve">1no. </w:t>
            </w:r>
          </w:p>
        </w:tc>
        <w:tc>
          <w:tcPr>
            <w:tcW w:w="1170" w:type="dxa"/>
            <w:tcBorders>
              <w:top w:val="single" w:sz="4" w:space="0" w:color="auto"/>
              <w:left w:val="single" w:sz="4" w:space="0" w:color="000000" w:themeColor="text1"/>
              <w:bottom w:val="single" w:sz="4" w:space="0" w:color="auto"/>
              <w:right w:val="single" w:sz="4" w:space="0" w:color="auto"/>
            </w:tcBorders>
            <w:hideMark/>
          </w:tcPr>
          <w:p w:rsidR="003D12CB" w:rsidRDefault="003D12CB">
            <w:r>
              <w:t>1No.</w:t>
            </w:r>
          </w:p>
        </w:tc>
      </w:tr>
      <w:tr w:rsidR="003D12CB" w:rsidTr="003D12CB">
        <w:trPr>
          <w:trHeight w:val="399"/>
        </w:trPr>
        <w:tc>
          <w:tcPr>
            <w:tcW w:w="694" w:type="dxa"/>
            <w:tcBorders>
              <w:top w:val="single" w:sz="4" w:space="0" w:color="auto"/>
              <w:left w:val="single" w:sz="4" w:space="0" w:color="000000" w:themeColor="text1"/>
              <w:bottom w:val="single" w:sz="4" w:space="0" w:color="auto"/>
              <w:right w:val="single" w:sz="4" w:space="0" w:color="000000" w:themeColor="text1"/>
            </w:tcBorders>
            <w:hideMark/>
          </w:tcPr>
          <w:p w:rsidR="003D12CB" w:rsidRDefault="003D12CB">
            <w:r>
              <w:t>9.</w:t>
            </w:r>
          </w:p>
        </w:tc>
        <w:tc>
          <w:tcPr>
            <w:tcW w:w="6686" w:type="dxa"/>
            <w:tcBorders>
              <w:top w:val="single" w:sz="4" w:space="0" w:color="auto"/>
              <w:left w:val="single" w:sz="4" w:space="0" w:color="000000" w:themeColor="text1"/>
              <w:bottom w:val="single" w:sz="4" w:space="0" w:color="auto"/>
              <w:right w:val="single" w:sz="4" w:space="0" w:color="auto"/>
            </w:tcBorders>
            <w:hideMark/>
          </w:tcPr>
          <w:p w:rsidR="003D12CB" w:rsidRDefault="003D12CB">
            <w:pPr>
              <w:rPr>
                <w:sz w:val="20"/>
                <w:szCs w:val="20"/>
              </w:rPr>
            </w:pPr>
            <w:r>
              <w:rPr>
                <w:sz w:val="20"/>
                <w:szCs w:val="20"/>
              </w:rPr>
              <w:t xml:space="preserve">Hot plate (1’X 1’)  with energy regulator </w:t>
            </w:r>
          </w:p>
        </w:tc>
        <w:tc>
          <w:tcPr>
            <w:tcW w:w="1890" w:type="dxa"/>
            <w:tcBorders>
              <w:top w:val="single" w:sz="4" w:space="0" w:color="auto"/>
              <w:left w:val="single" w:sz="4" w:space="0" w:color="auto"/>
              <w:bottom w:val="single" w:sz="4" w:space="0" w:color="auto"/>
              <w:right w:val="single" w:sz="4" w:space="0" w:color="000000" w:themeColor="text1"/>
            </w:tcBorders>
            <w:hideMark/>
          </w:tcPr>
          <w:p w:rsidR="003D12CB" w:rsidRDefault="003D12CB">
            <w:r>
              <w:t xml:space="preserve">Nil </w:t>
            </w:r>
          </w:p>
        </w:tc>
        <w:tc>
          <w:tcPr>
            <w:tcW w:w="1170" w:type="dxa"/>
            <w:tcBorders>
              <w:top w:val="single" w:sz="4" w:space="0" w:color="auto"/>
              <w:left w:val="single" w:sz="4" w:space="0" w:color="000000" w:themeColor="text1"/>
              <w:bottom w:val="single" w:sz="4" w:space="0" w:color="auto"/>
              <w:right w:val="single" w:sz="4" w:space="0" w:color="auto"/>
            </w:tcBorders>
            <w:hideMark/>
          </w:tcPr>
          <w:p w:rsidR="003D12CB" w:rsidRDefault="003D12CB">
            <w:r>
              <w:t>1No.</w:t>
            </w:r>
          </w:p>
        </w:tc>
      </w:tr>
    </w:tbl>
    <w:p w:rsidR="003D12CB" w:rsidRDefault="003D12CB" w:rsidP="003D12CB">
      <w:pPr>
        <w:pStyle w:val="NoSpacing"/>
        <w:jc w:val="both"/>
        <w:rPr>
          <w:rFonts w:ascii="Cambria" w:hAnsi="Cambria"/>
          <w:b/>
          <w:snapToGrid w:val="0"/>
        </w:rPr>
      </w:pPr>
    </w:p>
    <w:p w:rsidR="003D12CB" w:rsidRDefault="003D12CB" w:rsidP="003D12CB">
      <w:pPr>
        <w:pStyle w:val="NoSpacing"/>
        <w:jc w:val="both"/>
        <w:rPr>
          <w:rFonts w:ascii="Cambria" w:hAnsi="Cambria"/>
          <w:b/>
          <w:snapToGrid w:val="0"/>
        </w:rPr>
      </w:pPr>
      <w:r>
        <w:rPr>
          <w:sz w:val="22"/>
          <w:szCs w:val="22"/>
        </w:rPr>
        <w:t xml:space="preserve">                                                                                                                    Sd</w:t>
      </w:r>
      <w:proofErr w:type="gramStart"/>
      <w:r>
        <w:rPr>
          <w:sz w:val="22"/>
          <w:szCs w:val="22"/>
        </w:rPr>
        <w:t>./</w:t>
      </w:r>
      <w:proofErr w:type="gramEnd"/>
      <w:r>
        <w:rPr>
          <w:sz w:val="22"/>
          <w:szCs w:val="22"/>
        </w:rPr>
        <w:t xml:space="preserve"> 06/11/2015                  </w:t>
      </w:r>
    </w:p>
    <w:p w:rsidR="003D12CB" w:rsidRDefault="003D12CB" w:rsidP="003D12CB">
      <w:pPr>
        <w:pStyle w:val="NoSpacing"/>
        <w:ind w:left="2160"/>
        <w:rPr>
          <w:rFonts w:ascii="Cambria" w:hAnsi="Cambria"/>
          <w:b/>
          <w:snapToGrid w:val="0"/>
          <w:sz w:val="22"/>
          <w:szCs w:val="22"/>
        </w:rPr>
      </w:pPr>
      <w:r>
        <w:rPr>
          <w:rFonts w:ascii="Cambria" w:hAnsi="Cambria"/>
          <w:b/>
          <w:snapToGrid w:val="0"/>
          <w:sz w:val="22"/>
          <w:szCs w:val="22"/>
        </w:rPr>
        <w:t xml:space="preserve">                                                                  Director of Family Welfare &amp; P.M</w:t>
      </w:r>
    </w:p>
    <w:p w:rsidR="003D12CB" w:rsidRDefault="003D12CB" w:rsidP="003D12CB">
      <w:pPr>
        <w:pStyle w:val="NoSpacing"/>
        <w:ind w:left="1440"/>
        <w:jc w:val="both"/>
        <w:rPr>
          <w:rFonts w:ascii="Cambria" w:hAnsi="Cambria"/>
          <w:b/>
          <w:snapToGrid w:val="0"/>
          <w:sz w:val="22"/>
          <w:szCs w:val="22"/>
        </w:rPr>
      </w:pPr>
      <w:r>
        <w:rPr>
          <w:rFonts w:ascii="Cambria" w:hAnsi="Cambria"/>
          <w:b/>
          <w:snapToGrid w:val="0"/>
          <w:sz w:val="22"/>
          <w:szCs w:val="22"/>
        </w:rPr>
        <w:t xml:space="preserve">                                                                                Government of Tripura, Agartala</w:t>
      </w:r>
    </w:p>
    <w:p w:rsidR="003D12CB" w:rsidRDefault="003D12CB" w:rsidP="003D12CB">
      <w:pPr>
        <w:pStyle w:val="NoSpacing"/>
        <w:ind w:left="1440"/>
        <w:jc w:val="both"/>
        <w:rPr>
          <w:b/>
          <w:color w:val="4F81BD" w:themeColor="accent1"/>
          <w:sz w:val="22"/>
          <w:szCs w:val="22"/>
        </w:rPr>
      </w:pPr>
    </w:p>
    <w:p w:rsidR="003D12CB" w:rsidRDefault="003D12CB" w:rsidP="003D12CB">
      <w:pPr>
        <w:pStyle w:val="NoSpacing"/>
        <w:jc w:val="both"/>
        <w:rPr>
          <w:rFonts w:ascii="Cambria" w:hAnsi="Cambria"/>
          <w:b/>
          <w:snapToGrid w:val="0"/>
        </w:rPr>
      </w:pPr>
    </w:p>
    <w:p w:rsidR="003D12CB" w:rsidRDefault="003D12CB" w:rsidP="003D12CB">
      <w:pPr>
        <w:pStyle w:val="NoSpacing"/>
        <w:jc w:val="both"/>
        <w:rPr>
          <w:rFonts w:ascii="Cambria" w:hAnsi="Cambria"/>
          <w:b/>
          <w:snapToGrid w:val="0"/>
        </w:rPr>
      </w:pPr>
    </w:p>
    <w:p w:rsidR="003D12CB" w:rsidRDefault="003D12CB" w:rsidP="003D12CB">
      <w:pPr>
        <w:pStyle w:val="NoSpacing"/>
        <w:jc w:val="both"/>
        <w:rPr>
          <w:rFonts w:ascii="Cambria" w:hAnsi="Cambria"/>
          <w:b/>
          <w:snapToGrid w:val="0"/>
        </w:rPr>
      </w:pPr>
    </w:p>
    <w:p w:rsidR="003D12CB" w:rsidRDefault="003D12CB" w:rsidP="003D12CB">
      <w:pPr>
        <w:pStyle w:val="NoSpacing"/>
        <w:jc w:val="both"/>
        <w:rPr>
          <w:rFonts w:ascii="Cambria" w:hAnsi="Cambria"/>
          <w:b/>
          <w:snapToGrid w:val="0"/>
        </w:rPr>
      </w:pPr>
    </w:p>
    <w:p w:rsidR="003D12CB" w:rsidRDefault="003D12CB" w:rsidP="003D12CB">
      <w:pPr>
        <w:pStyle w:val="NoSpacing"/>
        <w:jc w:val="both"/>
        <w:rPr>
          <w:rFonts w:ascii="Cambria" w:hAnsi="Cambria"/>
          <w:b/>
          <w:snapToGrid w:val="0"/>
        </w:rPr>
      </w:pPr>
    </w:p>
    <w:p w:rsidR="003E1F8E" w:rsidRDefault="003E1F8E"/>
    <w:sectPr w:rsidR="003E1F8E" w:rsidSect="003D12CB">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12CB"/>
    <w:rsid w:val="003D12CB"/>
    <w:rsid w:val="003E1F8E"/>
    <w:rsid w:val="00C26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D12CB"/>
    <w:rPr>
      <w:color w:val="0000FF"/>
      <w:u w:val="single"/>
    </w:rPr>
  </w:style>
  <w:style w:type="paragraph" w:styleId="NoSpacing">
    <w:name w:val="No Spacing"/>
    <w:uiPriority w:val="1"/>
    <w:qFormat/>
    <w:rsid w:val="003D12C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D12CB"/>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6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tripura.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alth.tripura.gov.in" TargetMode="External"/><Relationship Id="rId5" Type="http://schemas.openxmlformats.org/officeDocument/2006/relationships/hyperlink" Target="mailto:Email-dfwpmtripur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09FB-3C7B-41D3-AB24-6E311744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2015-11-06T23:38:00Z</dcterms:created>
  <dcterms:modified xsi:type="dcterms:W3CDTF">2015-11-06T23:41:00Z</dcterms:modified>
</cp:coreProperties>
</file>